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B68BD" w14:textId="77777777" w:rsidR="004627C7" w:rsidRPr="001C4E5C" w:rsidRDefault="004627C7" w:rsidP="004627C7">
      <w:pPr>
        <w:pStyle w:val="NoSpacing"/>
        <w:jc w:val="right"/>
        <w:rPr>
          <w:rFonts w:ascii="Times New Roman" w:hAnsi="Times New Roman" w:cs="Times New Roman"/>
          <w:i/>
          <w:iCs/>
          <w:sz w:val="24"/>
        </w:rPr>
      </w:pPr>
      <w:r w:rsidRPr="001C4E5C">
        <w:rPr>
          <w:rFonts w:ascii="Times New Roman" w:hAnsi="Times New Roman" w:cs="Times New Roman"/>
          <w:i/>
          <w:iCs/>
          <w:sz w:val="24"/>
        </w:rPr>
        <w:t>For June 5, 2023, TPAS Recommendation</w:t>
      </w:r>
    </w:p>
    <w:p w14:paraId="7FEAE612" w14:textId="1C3DD31D" w:rsidR="00EF45D8" w:rsidRPr="001C4E5C" w:rsidRDefault="004627C7" w:rsidP="004627C7">
      <w:pPr>
        <w:jc w:val="right"/>
        <w:rPr>
          <w:rFonts w:ascii="Times New Roman" w:hAnsi="Times New Roman" w:cs="Times New Roman"/>
          <w:i/>
          <w:iCs/>
          <w:sz w:val="24"/>
        </w:rPr>
      </w:pPr>
      <w:r w:rsidRPr="001C4E5C">
        <w:rPr>
          <w:rFonts w:ascii="Times New Roman" w:hAnsi="Times New Roman" w:cs="Times New Roman"/>
          <w:i/>
          <w:iCs/>
          <w:sz w:val="24"/>
        </w:rPr>
        <w:t>For June 22, 2023, OC Approval</w:t>
      </w:r>
    </w:p>
    <w:p w14:paraId="0AD8C958" w14:textId="77777777" w:rsidR="004627C7" w:rsidRPr="004627C7" w:rsidRDefault="004627C7" w:rsidP="004627C7">
      <w:pPr>
        <w:jc w:val="right"/>
        <w:rPr>
          <w:rFonts w:ascii="Times New Roman" w:hAnsi="Times New Roman" w:cs="Times New Roman"/>
          <w:b/>
          <w:bCs/>
          <w:sz w:val="24"/>
        </w:rPr>
      </w:pPr>
    </w:p>
    <w:p w14:paraId="3B5CF590" w14:textId="18369A54" w:rsidR="00EF45D8" w:rsidRPr="004627C7" w:rsidRDefault="00EF45D8" w:rsidP="00EF45D8">
      <w:pPr>
        <w:jc w:val="center"/>
        <w:rPr>
          <w:rFonts w:ascii="Times New Roman" w:hAnsi="Times New Roman" w:cs="Times New Roman"/>
          <w:b/>
          <w:bCs/>
          <w:sz w:val="24"/>
        </w:rPr>
      </w:pPr>
      <w:r w:rsidRPr="004627C7">
        <w:rPr>
          <w:rFonts w:ascii="Times New Roman" w:hAnsi="Times New Roman" w:cs="Times New Roman"/>
          <w:b/>
          <w:bCs/>
          <w:sz w:val="24"/>
        </w:rPr>
        <w:t xml:space="preserve">Large Generating Facility - Interconnection System Reliability Impact Study Scope </w:t>
      </w:r>
    </w:p>
    <w:p w14:paraId="01CB4E94" w14:textId="18BAF3A8" w:rsidR="00EF45D8" w:rsidRPr="004627C7" w:rsidRDefault="00EF45D8" w:rsidP="00EF45D8">
      <w:pPr>
        <w:jc w:val="center"/>
        <w:rPr>
          <w:rFonts w:ascii="Times New Roman" w:hAnsi="Times New Roman" w:cs="Times New Roman"/>
          <w:b/>
          <w:bCs/>
          <w:sz w:val="24"/>
        </w:rPr>
      </w:pPr>
      <w:r w:rsidRPr="004627C7">
        <w:rPr>
          <w:rFonts w:ascii="Times New Roman" w:hAnsi="Times New Roman" w:cs="Times New Roman"/>
          <w:b/>
          <w:bCs/>
          <w:sz w:val="24"/>
        </w:rPr>
        <w:t>Queue #</w:t>
      </w:r>
      <w:r w:rsidRPr="004627C7">
        <w:rPr>
          <w:rFonts w:ascii="Times New Roman" w:hAnsi="Times New Roman" w:cs="Times New Roman"/>
          <w:b/>
          <w:bCs/>
          <w:i/>
          <w:iCs/>
          <w:sz w:val="24"/>
        </w:rPr>
        <w:t>1341: Atlantic Shores Offshore Wind Bight 5</w:t>
      </w:r>
      <w:r w:rsidRPr="004627C7">
        <w:rPr>
          <w:rFonts w:ascii="Times New Roman" w:hAnsi="Times New Roman" w:cs="Times New Roman"/>
          <w:b/>
          <w:bCs/>
          <w:sz w:val="24"/>
        </w:rPr>
        <w:t xml:space="preserve"> Project</w:t>
      </w:r>
    </w:p>
    <w:p w14:paraId="0E314675" w14:textId="1368A94F" w:rsidR="00EF45D8" w:rsidRPr="004627C7" w:rsidRDefault="00EF45D8" w:rsidP="00EF45D8">
      <w:pPr>
        <w:rPr>
          <w:rFonts w:ascii="Times New Roman" w:hAnsi="Times New Roman" w:cs="Times New Roman"/>
          <w:b/>
          <w:bCs/>
          <w:sz w:val="24"/>
        </w:rPr>
      </w:pPr>
    </w:p>
    <w:p w14:paraId="3133F505" w14:textId="2131CC36" w:rsidR="00EF45D8" w:rsidRPr="004627C7" w:rsidRDefault="00EF45D8" w:rsidP="00EF45D8">
      <w:pPr>
        <w:pStyle w:val="ListParagraph"/>
        <w:numPr>
          <w:ilvl w:val="0"/>
          <w:numId w:val="1"/>
        </w:numPr>
        <w:ind w:left="360"/>
        <w:rPr>
          <w:rFonts w:ascii="Times New Roman" w:hAnsi="Times New Roman" w:cs="Times New Roman"/>
          <w:b/>
          <w:bCs/>
          <w:sz w:val="24"/>
        </w:rPr>
      </w:pPr>
      <w:r w:rsidRPr="004627C7">
        <w:rPr>
          <w:rFonts w:ascii="Times New Roman" w:hAnsi="Times New Roman" w:cs="Times New Roman"/>
          <w:b/>
          <w:bCs/>
          <w:sz w:val="24"/>
        </w:rPr>
        <w:t>Purpose</w:t>
      </w:r>
    </w:p>
    <w:p w14:paraId="0E73F722" w14:textId="58855B0D"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 xml:space="preserve">The purpose of this Interconnection System Reliability Impact Study (“SRIS” or “Study”) is to evaluate the impact of the proposed interconnection of Atlantic Shores Offshore Wind Bight 5 </w:t>
      </w:r>
      <w:r w:rsidR="006961D4" w:rsidRPr="004627C7">
        <w:rPr>
          <w:rFonts w:ascii="Times New Roman" w:hAnsi="Times New Roman" w:cs="Times New Roman"/>
          <w:sz w:val="24"/>
        </w:rPr>
        <w:t xml:space="preserve">Project </w:t>
      </w:r>
      <w:r w:rsidRPr="004627C7">
        <w:rPr>
          <w:rFonts w:ascii="Times New Roman" w:hAnsi="Times New Roman" w:cs="Times New Roman"/>
          <w:sz w:val="24"/>
        </w:rPr>
        <w:t>(“Project”), which is being developed by Atlantic Shores Offshore Wind Bight, LLC (“Developer”), on the reliability of the New York State Transmission System (“NYSTS”). The Study will be performed in accordance with Attachment X of the NYISO Open Access Transmission Tariff (“OATT”).</w:t>
      </w:r>
    </w:p>
    <w:p w14:paraId="71B822F0" w14:textId="7CCF7A50"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 xml:space="preserve">The Project will </w:t>
      </w:r>
      <w:proofErr w:type="gramStart"/>
      <w:r w:rsidRPr="004627C7">
        <w:rPr>
          <w:rFonts w:ascii="Times New Roman" w:hAnsi="Times New Roman" w:cs="Times New Roman"/>
          <w:sz w:val="24"/>
        </w:rPr>
        <w:t>be located in</w:t>
      </w:r>
      <w:proofErr w:type="gramEnd"/>
      <w:r w:rsidRPr="004627C7">
        <w:rPr>
          <w:rFonts w:ascii="Times New Roman" w:hAnsi="Times New Roman" w:cs="Times New Roman"/>
          <w:sz w:val="24"/>
        </w:rPr>
        <w:t xml:space="preserve"> Richmond County, New York. The proposed Point of Interconnection (“POI”) will be at </w:t>
      </w:r>
      <w:r w:rsidR="00B85592" w:rsidRPr="004627C7">
        <w:rPr>
          <w:rFonts w:ascii="Times New Roman" w:hAnsi="Times New Roman" w:cs="Times New Roman"/>
          <w:sz w:val="24"/>
        </w:rPr>
        <w:t>Consolidated Edison Company of New York, Inc. (“Con</w:t>
      </w:r>
      <w:r w:rsidR="006961D4" w:rsidRPr="004627C7">
        <w:rPr>
          <w:rFonts w:ascii="Times New Roman" w:hAnsi="Times New Roman" w:cs="Times New Roman"/>
          <w:sz w:val="24"/>
        </w:rPr>
        <w:t xml:space="preserve"> </w:t>
      </w:r>
      <w:r w:rsidR="00B85592" w:rsidRPr="004627C7">
        <w:rPr>
          <w:rFonts w:ascii="Times New Roman" w:hAnsi="Times New Roman" w:cs="Times New Roman"/>
          <w:sz w:val="24"/>
        </w:rPr>
        <w:t>Ed</w:t>
      </w:r>
      <w:r w:rsidR="006961D4" w:rsidRPr="004627C7">
        <w:rPr>
          <w:rFonts w:ascii="Times New Roman" w:hAnsi="Times New Roman" w:cs="Times New Roman"/>
          <w:sz w:val="24"/>
        </w:rPr>
        <w:t>ison</w:t>
      </w:r>
      <w:r w:rsidR="00B85592" w:rsidRPr="004627C7">
        <w:rPr>
          <w:rFonts w:ascii="Times New Roman" w:hAnsi="Times New Roman" w:cs="Times New Roman"/>
          <w:sz w:val="24"/>
        </w:rPr>
        <w:t xml:space="preserve">”) </w:t>
      </w:r>
      <w:r w:rsidRPr="004627C7">
        <w:rPr>
          <w:rFonts w:ascii="Times New Roman" w:hAnsi="Times New Roman" w:cs="Times New Roman"/>
          <w:sz w:val="24"/>
        </w:rPr>
        <w:t>Fresh Kills 345</w:t>
      </w:r>
      <w:r w:rsidR="00B85592" w:rsidRPr="004627C7">
        <w:rPr>
          <w:rFonts w:ascii="Times New Roman" w:hAnsi="Times New Roman" w:cs="Times New Roman"/>
          <w:sz w:val="24"/>
        </w:rPr>
        <w:t xml:space="preserve"> k</w:t>
      </w:r>
      <w:r w:rsidRPr="004627C7">
        <w:rPr>
          <w:rFonts w:ascii="Times New Roman" w:hAnsi="Times New Roman" w:cs="Times New Roman"/>
          <w:sz w:val="24"/>
        </w:rPr>
        <w:t>V. The Connecting Transmission Owner (“CTO”) is Con</w:t>
      </w:r>
      <w:r w:rsidR="006961D4" w:rsidRPr="004627C7">
        <w:rPr>
          <w:rFonts w:ascii="Times New Roman" w:hAnsi="Times New Roman" w:cs="Times New Roman"/>
          <w:sz w:val="24"/>
        </w:rPr>
        <w:t xml:space="preserve"> </w:t>
      </w:r>
      <w:r w:rsidRPr="004627C7">
        <w:rPr>
          <w:rFonts w:ascii="Times New Roman" w:hAnsi="Times New Roman" w:cs="Times New Roman"/>
          <w:sz w:val="24"/>
        </w:rPr>
        <w:t>Ed</w:t>
      </w:r>
      <w:r w:rsidR="006961D4" w:rsidRPr="004627C7">
        <w:rPr>
          <w:rFonts w:ascii="Times New Roman" w:hAnsi="Times New Roman" w:cs="Times New Roman"/>
          <w:sz w:val="24"/>
        </w:rPr>
        <w:t>ison</w:t>
      </w:r>
      <w:r w:rsidRPr="004627C7">
        <w:rPr>
          <w:rFonts w:ascii="Times New Roman" w:hAnsi="Times New Roman" w:cs="Times New Roman"/>
          <w:sz w:val="24"/>
        </w:rPr>
        <w:t>.</w:t>
      </w:r>
    </w:p>
    <w:p w14:paraId="7F59A01C" w14:textId="33DD67DB"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The Project is a</w:t>
      </w:r>
      <w:r w:rsidR="00DE2C1A">
        <w:rPr>
          <w:rFonts w:ascii="Times New Roman" w:hAnsi="Times New Roman" w:cs="Times New Roman"/>
          <w:sz w:val="24"/>
        </w:rPr>
        <w:t>n offshore</w:t>
      </w:r>
      <w:r w:rsidRPr="004627C7">
        <w:rPr>
          <w:rFonts w:ascii="Times New Roman" w:hAnsi="Times New Roman" w:cs="Times New Roman"/>
          <w:sz w:val="24"/>
        </w:rPr>
        <w:t xml:space="preserve"> wind generation plant. The Project, as proposed, will consist of </w:t>
      </w:r>
      <w:bookmarkStart w:id="0" w:name="_Hlk105662114"/>
      <w:r w:rsidR="00B85592" w:rsidRPr="004627C7">
        <w:rPr>
          <w:rFonts w:ascii="Times New Roman" w:hAnsi="Times New Roman" w:cs="Times New Roman"/>
          <w:sz w:val="24"/>
        </w:rPr>
        <w:t>one hundred and fifty (150) V236-15 MW wind</w:t>
      </w:r>
      <w:bookmarkEnd w:id="0"/>
      <w:r w:rsidR="00B85592" w:rsidRPr="004627C7">
        <w:rPr>
          <w:rFonts w:ascii="Times New Roman" w:hAnsi="Times New Roman" w:cs="Times New Roman"/>
          <w:sz w:val="24"/>
        </w:rPr>
        <w:t xml:space="preserve"> turbines</w:t>
      </w:r>
      <w:r w:rsidRPr="004627C7">
        <w:rPr>
          <w:rFonts w:ascii="Times New Roman" w:hAnsi="Times New Roman" w:cs="Times New Roman"/>
          <w:sz w:val="24"/>
        </w:rPr>
        <w:t>. It is expected to have a maximum potential generating capacity of 2100 MW during summer and winter periods.</w:t>
      </w:r>
      <w:r w:rsidRPr="004627C7">
        <w:rPr>
          <w:rStyle w:val="FootnoteReference"/>
          <w:rFonts w:ascii="Times New Roman" w:hAnsi="Times New Roman" w:cs="Times New Roman"/>
          <w:sz w:val="24"/>
        </w:rPr>
        <w:footnoteReference w:id="1"/>
      </w:r>
      <w:r w:rsidR="00F80640" w:rsidRPr="004627C7">
        <w:rPr>
          <w:rFonts w:ascii="Times New Roman" w:hAnsi="Times New Roman" w:cs="Times New Roman"/>
          <w:sz w:val="24"/>
        </w:rPr>
        <w:t xml:space="preserve"> </w:t>
      </w:r>
    </w:p>
    <w:p w14:paraId="4FB577FF" w14:textId="6A100F08"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The Project proposes an In-Service Date of</w:t>
      </w:r>
      <w:r w:rsidR="00B85592" w:rsidRPr="004627C7">
        <w:rPr>
          <w:rFonts w:ascii="Times New Roman" w:hAnsi="Times New Roman" w:cs="Times New Roman"/>
          <w:b/>
          <w:sz w:val="24"/>
        </w:rPr>
        <w:t xml:space="preserve"> </w:t>
      </w:r>
      <w:r w:rsidR="00B85592" w:rsidRPr="004627C7">
        <w:rPr>
          <w:rFonts w:ascii="Times New Roman" w:hAnsi="Times New Roman" w:cs="Times New Roman"/>
          <w:bCs/>
          <w:sz w:val="24"/>
        </w:rPr>
        <w:t xml:space="preserve">December </w:t>
      </w:r>
      <w:r w:rsidRPr="004627C7">
        <w:rPr>
          <w:rFonts w:ascii="Times New Roman" w:hAnsi="Times New Roman" w:cs="Times New Roman"/>
          <w:bCs/>
          <w:sz w:val="24"/>
        </w:rPr>
        <w:t>20</w:t>
      </w:r>
      <w:r w:rsidR="00B85592" w:rsidRPr="004627C7">
        <w:rPr>
          <w:rFonts w:ascii="Times New Roman" w:hAnsi="Times New Roman" w:cs="Times New Roman"/>
          <w:bCs/>
          <w:sz w:val="24"/>
        </w:rPr>
        <w:t>29</w:t>
      </w:r>
      <w:r w:rsidRPr="004627C7">
        <w:rPr>
          <w:rFonts w:ascii="Times New Roman" w:hAnsi="Times New Roman" w:cs="Times New Roman"/>
          <w:bCs/>
          <w:sz w:val="24"/>
        </w:rPr>
        <w:t>,</w:t>
      </w:r>
      <w:r w:rsidRPr="004627C7">
        <w:rPr>
          <w:rFonts w:ascii="Times New Roman" w:hAnsi="Times New Roman" w:cs="Times New Roman"/>
          <w:sz w:val="24"/>
        </w:rPr>
        <w:t xml:space="preserve"> </w:t>
      </w:r>
      <w:r w:rsidR="00E7446F" w:rsidRPr="004627C7">
        <w:rPr>
          <w:rFonts w:ascii="Times New Roman" w:hAnsi="Times New Roman" w:cs="Times New Roman"/>
          <w:sz w:val="24"/>
        </w:rPr>
        <w:t xml:space="preserve">an </w:t>
      </w:r>
      <w:r w:rsidRPr="004627C7">
        <w:rPr>
          <w:rFonts w:ascii="Times New Roman" w:hAnsi="Times New Roman" w:cs="Times New Roman"/>
          <w:sz w:val="24"/>
        </w:rPr>
        <w:t xml:space="preserve">Initial Synchronization Date of </w:t>
      </w:r>
      <w:r w:rsidR="00B85592" w:rsidRPr="004627C7">
        <w:rPr>
          <w:rFonts w:ascii="Times New Roman" w:hAnsi="Times New Roman" w:cs="Times New Roman"/>
          <w:bCs/>
          <w:sz w:val="24"/>
        </w:rPr>
        <w:t>March 2030,</w:t>
      </w:r>
      <w:r w:rsidRPr="004627C7">
        <w:rPr>
          <w:rFonts w:ascii="Times New Roman" w:hAnsi="Times New Roman" w:cs="Times New Roman"/>
          <w:sz w:val="24"/>
        </w:rPr>
        <w:t xml:space="preserve"> and </w:t>
      </w:r>
      <w:r w:rsidR="00E7446F" w:rsidRPr="004627C7">
        <w:rPr>
          <w:rFonts w:ascii="Times New Roman" w:hAnsi="Times New Roman" w:cs="Times New Roman"/>
          <w:sz w:val="24"/>
        </w:rPr>
        <w:t xml:space="preserve">a </w:t>
      </w:r>
      <w:r w:rsidRPr="004627C7">
        <w:rPr>
          <w:rFonts w:ascii="Times New Roman" w:hAnsi="Times New Roman" w:cs="Times New Roman"/>
          <w:sz w:val="24"/>
        </w:rPr>
        <w:t xml:space="preserve">Commercial Operation Date of </w:t>
      </w:r>
      <w:r w:rsidR="00B85592" w:rsidRPr="004627C7">
        <w:rPr>
          <w:rFonts w:ascii="Times New Roman" w:hAnsi="Times New Roman" w:cs="Times New Roman"/>
          <w:bCs/>
          <w:sz w:val="24"/>
        </w:rPr>
        <w:t xml:space="preserve">December </w:t>
      </w:r>
      <w:r w:rsidRPr="004627C7">
        <w:rPr>
          <w:rFonts w:ascii="Times New Roman" w:hAnsi="Times New Roman" w:cs="Times New Roman"/>
          <w:bCs/>
          <w:sz w:val="24"/>
        </w:rPr>
        <w:t>2030</w:t>
      </w:r>
      <w:r w:rsidRPr="004627C7">
        <w:rPr>
          <w:rFonts w:ascii="Times New Roman" w:hAnsi="Times New Roman" w:cs="Times New Roman"/>
          <w:sz w:val="24"/>
        </w:rPr>
        <w:t>.</w:t>
      </w:r>
    </w:p>
    <w:p w14:paraId="051D8DFC" w14:textId="397D74D5" w:rsidR="00E7446F" w:rsidRPr="004627C7" w:rsidRDefault="00E7446F" w:rsidP="00EF45D8">
      <w:pPr>
        <w:jc w:val="both"/>
        <w:rPr>
          <w:rFonts w:ascii="Times New Roman" w:hAnsi="Times New Roman" w:cs="Times New Roman"/>
          <w:sz w:val="24"/>
        </w:rPr>
      </w:pPr>
      <w:r w:rsidRPr="004627C7">
        <w:rPr>
          <w:rFonts w:ascii="Times New Roman" w:hAnsi="Times New Roman" w:cs="Times New Roman"/>
          <w:sz w:val="24"/>
        </w:rPr>
        <w:t>The Project is a mutually exclusive project to Q#1337, Q#1338, and Q#1340</w:t>
      </w:r>
      <w:r w:rsidR="00FD0977" w:rsidRPr="004627C7">
        <w:rPr>
          <w:rFonts w:ascii="Times New Roman" w:hAnsi="Times New Roman" w:cs="Times New Roman"/>
          <w:sz w:val="24"/>
        </w:rPr>
        <w:t xml:space="preserve"> projects</w:t>
      </w:r>
      <w:r w:rsidRPr="004627C7">
        <w:rPr>
          <w:rFonts w:ascii="Times New Roman" w:hAnsi="Times New Roman" w:cs="Times New Roman"/>
          <w:sz w:val="24"/>
        </w:rPr>
        <w:t>, which are also being developed by the Developer, and only one out of these four projects can move forward together to a Class Year Study.</w:t>
      </w:r>
    </w:p>
    <w:p w14:paraId="67A8116A" w14:textId="0632C80B"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 xml:space="preserve">The Study will assess the impact of the Project on the base case power system including </w:t>
      </w:r>
      <w:r w:rsidR="00B85592" w:rsidRPr="004627C7">
        <w:rPr>
          <w:rFonts w:ascii="Times New Roman" w:hAnsi="Times New Roman" w:cs="Times New Roman"/>
          <w:i/>
          <w:iCs/>
          <w:sz w:val="24"/>
        </w:rPr>
        <w:t>PJM</w:t>
      </w:r>
      <w:r w:rsidR="006961D4" w:rsidRPr="004627C7">
        <w:rPr>
          <w:rFonts w:ascii="Times New Roman" w:hAnsi="Times New Roman" w:cs="Times New Roman"/>
          <w:i/>
          <w:iCs/>
          <w:sz w:val="24"/>
        </w:rPr>
        <w:t xml:space="preserve"> Interconnection</w:t>
      </w:r>
      <w:r w:rsidRPr="004627C7">
        <w:rPr>
          <w:rFonts w:ascii="Times New Roman" w:hAnsi="Times New Roman" w:cs="Times New Roman"/>
          <w:sz w:val="24"/>
        </w:rPr>
        <w:t xml:space="preserve"> as an Affected System. It will provide a list of the facilities (CTO Attachment Facilities and System Upgrade Facilities) required to reliably interconnect the Project, and non-binding good faith estimates of cost and time to construct those facilities. </w:t>
      </w:r>
    </w:p>
    <w:p w14:paraId="246FB2C4" w14:textId="04207275"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The Study will be conducted in accordance with the Applicable Reliability Standards.</w:t>
      </w:r>
    </w:p>
    <w:p w14:paraId="407FEE86" w14:textId="1A9FDEC7" w:rsidR="00EF45D8" w:rsidRPr="004627C7" w:rsidRDefault="00EF45D8" w:rsidP="00EF45D8">
      <w:pPr>
        <w:jc w:val="both"/>
        <w:rPr>
          <w:rFonts w:ascii="Times New Roman" w:hAnsi="Times New Roman" w:cs="Times New Roman"/>
          <w:b/>
          <w:bCs/>
          <w:sz w:val="24"/>
        </w:rPr>
      </w:pPr>
    </w:p>
    <w:p w14:paraId="02322D92" w14:textId="5A0AF322" w:rsidR="000503FB" w:rsidRPr="004627C7" w:rsidRDefault="000503FB" w:rsidP="00EF45D8">
      <w:pPr>
        <w:jc w:val="both"/>
        <w:rPr>
          <w:rFonts w:ascii="Times New Roman" w:hAnsi="Times New Roman" w:cs="Times New Roman"/>
          <w:b/>
          <w:bCs/>
          <w:sz w:val="24"/>
        </w:rPr>
      </w:pPr>
    </w:p>
    <w:p w14:paraId="711E48ED" w14:textId="77777777" w:rsidR="000503FB" w:rsidRPr="004627C7" w:rsidRDefault="000503FB" w:rsidP="00EF45D8">
      <w:pPr>
        <w:jc w:val="both"/>
        <w:rPr>
          <w:rFonts w:ascii="Times New Roman" w:hAnsi="Times New Roman" w:cs="Times New Roman"/>
          <w:b/>
          <w:bCs/>
          <w:sz w:val="24"/>
        </w:rPr>
      </w:pPr>
    </w:p>
    <w:p w14:paraId="01CCBCEA" w14:textId="6D13DECB"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Interconnection Plan</w:t>
      </w:r>
    </w:p>
    <w:p w14:paraId="2E56FD6B" w14:textId="6C0ECEA4"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The Study will include a description of the proposed facilities and the conceptual design of the interconnection to the system representation. The description will include a breaker one-line diagram depicting the proposed facilities and their integration with the existing facilities. The Study will also identify potential issues with the feasibility/constructability of the conceptual design of the proposed interconnection to the extent known based on the Study assumptions.</w:t>
      </w:r>
    </w:p>
    <w:p w14:paraId="0F1A4BBD" w14:textId="7ED84356" w:rsidR="00EF45D8" w:rsidRPr="004627C7" w:rsidRDefault="00EF45D8" w:rsidP="00EF45D8">
      <w:pPr>
        <w:jc w:val="both"/>
        <w:rPr>
          <w:rFonts w:ascii="Times New Roman" w:hAnsi="Times New Roman" w:cs="Times New Roman"/>
          <w:b/>
          <w:bCs/>
          <w:sz w:val="24"/>
        </w:rPr>
      </w:pPr>
    </w:p>
    <w:p w14:paraId="499C247E" w14:textId="0BD1FBE2"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Study Period</w:t>
      </w:r>
    </w:p>
    <w:p w14:paraId="11B8CA52" w14:textId="29B4301F" w:rsidR="00EF45D8" w:rsidRPr="004627C7" w:rsidRDefault="00E7446F" w:rsidP="00EF45D8">
      <w:pPr>
        <w:jc w:val="both"/>
        <w:rPr>
          <w:rFonts w:ascii="Times New Roman" w:hAnsi="Times New Roman" w:cs="Times New Roman"/>
          <w:b/>
          <w:bCs/>
          <w:sz w:val="24"/>
        </w:rPr>
      </w:pPr>
      <w:r w:rsidRPr="004627C7">
        <w:rPr>
          <w:rFonts w:ascii="Times New Roman" w:hAnsi="Times New Roman" w:cs="Times New Roman"/>
          <w:sz w:val="24"/>
        </w:rPr>
        <w:t>The Study will be based on NYISO Class Year 2021 ATBA base cases (“Base Cases”) that have the 2021 FERC 715 2026 system representation, or the Class Year 2023 ATBA base cases that have the 2023 FERC 715 2028 system presentation if available prior to the start of the analyses identified in this scope (“Base Cases”). The Study will be conducted using the steady state, stability, and short circuit Base Cases provided by the NYISO, and will include the representation of proposed projects that have already been cost allocated, up to and including Class Year 2021 (as listed in Appendix A of this scope)</w:t>
      </w:r>
      <w:r w:rsidR="00EF45D8" w:rsidRPr="004627C7">
        <w:rPr>
          <w:rFonts w:ascii="Times New Roman" w:hAnsi="Times New Roman" w:cs="Times New Roman"/>
          <w:sz w:val="24"/>
        </w:rPr>
        <w:t>.</w:t>
      </w:r>
    </w:p>
    <w:p w14:paraId="61BAD30C" w14:textId="573F6314" w:rsidR="00EF45D8" w:rsidRPr="004627C7" w:rsidRDefault="00EF45D8" w:rsidP="00EF45D8">
      <w:pPr>
        <w:jc w:val="both"/>
        <w:rPr>
          <w:rFonts w:ascii="Times New Roman" w:hAnsi="Times New Roman" w:cs="Times New Roman"/>
          <w:b/>
          <w:bCs/>
          <w:sz w:val="24"/>
        </w:rPr>
      </w:pPr>
    </w:p>
    <w:p w14:paraId="35C8C970" w14:textId="4EFC0338"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Study Area</w:t>
      </w:r>
    </w:p>
    <w:p w14:paraId="351456AF" w14:textId="3A551BA4"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The Study will identify and evaluate the impact of the Project on the 1</w:t>
      </w:r>
      <w:r w:rsidR="00CB1634" w:rsidRPr="004627C7">
        <w:rPr>
          <w:rFonts w:ascii="Times New Roman" w:hAnsi="Times New Roman" w:cs="Times New Roman"/>
          <w:sz w:val="24"/>
        </w:rPr>
        <w:t xml:space="preserve">15 </w:t>
      </w:r>
      <w:r w:rsidRPr="004627C7">
        <w:rPr>
          <w:rFonts w:ascii="Times New Roman" w:hAnsi="Times New Roman" w:cs="Times New Roman"/>
          <w:sz w:val="24"/>
        </w:rPr>
        <w:t xml:space="preserve">kV and above portions of the NYSTS in the following New York load zones: </w:t>
      </w:r>
      <w:bookmarkStart w:id="1" w:name="_Hlk105662308"/>
      <w:r w:rsidR="00CB1634" w:rsidRPr="004627C7">
        <w:rPr>
          <w:rFonts w:ascii="Times New Roman" w:hAnsi="Times New Roman" w:cs="Times New Roman"/>
          <w:sz w:val="24"/>
        </w:rPr>
        <w:t>Zone H (Millwood), Zone I (</w:t>
      </w:r>
      <w:proofErr w:type="spellStart"/>
      <w:r w:rsidR="00CB1634" w:rsidRPr="004627C7">
        <w:rPr>
          <w:rFonts w:ascii="Times New Roman" w:hAnsi="Times New Roman" w:cs="Times New Roman"/>
          <w:sz w:val="24"/>
        </w:rPr>
        <w:t>Dunwoodie</w:t>
      </w:r>
      <w:proofErr w:type="spellEnd"/>
      <w:r w:rsidR="00CB1634" w:rsidRPr="004627C7">
        <w:rPr>
          <w:rFonts w:ascii="Times New Roman" w:hAnsi="Times New Roman" w:cs="Times New Roman"/>
          <w:sz w:val="24"/>
        </w:rPr>
        <w:t>), and Zone J (NYC)</w:t>
      </w:r>
      <w:bookmarkEnd w:id="1"/>
      <w:r w:rsidRPr="004627C7">
        <w:rPr>
          <w:rFonts w:ascii="Times New Roman" w:hAnsi="Times New Roman" w:cs="Times New Roman"/>
          <w:sz w:val="24"/>
        </w:rPr>
        <w:t xml:space="preserve"> that are most likely to be affected by the Project.  The Study will also evaluate the impact of the Project on the local</w:t>
      </w:r>
      <w:r w:rsidR="00CB1634" w:rsidRPr="004627C7">
        <w:rPr>
          <w:rFonts w:ascii="Times New Roman" w:hAnsi="Times New Roman" w:cs="Times New Roman"/>
          <w:sz w:val="24"/>
        </w:rPr>
        <w:t xml:space="preserve"> system (below</w:t>
      </w:r>
      <w:r w:rsidRPr="004627C7">
        <w:rPr>
          <w:rFonts w:ascii="Times New Roman" w:hAnsi="Times New Roman" w:cs="Times New Roman"/>
          <w:sz w:val="24"/>
        </w:rPr>
        <w:t xml:space="preserve"> 1</w:t>
      </w:r>
      <w:r w:rsidR="00CB1634" w:rsidRPr="004627C7">
        <w:rPr>
          <w:rFonts w:ascii="Times New Roman" w:hAnsi="Times New Roman" w:cs="Times New Roman"/>
          <w:sz w:val="24"/>
        </w:rPr>
        <w:t xml:space="preserve">15 </w:t>
      </w:r>
      <w:r w:rsidRPr="004627C7">
        <w:rPr>
          <w:rFonts w:ascii="Times New Roman" w:hAnsi="Times New Roman" w:cs="Times New Roman"/>
          <w:sz w:val="24"/>
        </w:rPr>
        <w:t>kV</w:t>
      </w:r>
      <w:r w:rsidR="00CB1634" w:rsidRPr="004627C7">
        <w:rPr>
          <w:rFonts w:ascii="Times New Roman" w:hAnsi="Times New Roman" w:cs="Times New Roman"/>
          <w:sz w:val="24"/>
        </w:rPr>
        <w:t>)</w:t>
      </w:r>
      <w:r w:rsidRPr="004627C7">
        <w:rPr>
          <w:rFonts w:ascii="Times New Roman" w:hAnsi="Times New Roman" w:cs="Times New Roman"/>
          <w:sz w:val="24"/>
        </w:rPr>
        <w:t xml:space="preserve"> in the electrical proximity to the POI.</w:t>
      </w:r>
    </w:p>
    <w:p w14:paraId="5F3E7948" w14:textId="07FD0DB3" w:rsidR="00EF45D8" w:rsidRPr="004627C7" w:rsidRDefault="00CB1634" w:rsidP="00EF45D8">
      <w:pPr>
        <w:jc w:val="both"/>
        <w:rPr>
          <w:rFonts w:ascii="Times New Roman" w:hAnsi="Times New Roman" w:cs="Times New Roman"/>
          <w:b/>
          <w:bCs/>
          <w:sz w:val="24"/>
        </w:rPr>
      </w:pPr>
      <w:r w:rsidRPr="004627C7">
        <w:rPr>
          <w:rFonts w:ascii="Times New Roman" w:hAnsi="Times New Roman" w:cs="Times New Roman"/>
          <w:b/>
          <w:bCs/>
          <w:sz w:val="24"/>
        </w:rPr>
        <w:t xml:space="preserve"> </w:t>
      </w:r>
    </w:p>
    <w:p w14:paraId="26BE7962" w14:textId="382E14A5"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Base Case Conditions</w:t>
      </w:r>
    </w:p>
    <w:p w14:paraId="5ADAC8F1" w14:textId="2AD9ABB8"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 xml:space="preserve">The impact of the proposed Project will be evaluated </w:t>
      </w:r>
      <w:r w:rsidR="00CB1634" w:rsidRPr="004627C7">
        <w:rPr>
          <w:rFonts w:ascii="Times New Roman" w:hAnsi="Times New Roman" w:cs="Times New Roman"/>
          <w:sz w:val="24"/>
        </w:rPr>
        <w:t xml:space="preserve">for </w:t>
      </w:r>
      <w:r w:rsidR="00CB1634" w:rsidRPr="004627C7">
        <w:rPr>
          <w:rFonts w:ascii="Times New Roman" w:hAnsi="Times New Roman" w:cs="Times New Roman"/>
          <w:b/>
          <w:sz w:val="24"/>
        </w:rPr>
        <w:t>summer</w:t>
      </w:r>
      <w:r w:rsidRPr="004627C7">
        <w:rPr>
          <w:rFonts w:ascii="Times New Roman" w:hAnsi="Times New Roman" w:cs="Times New Roman"/>
          <w:b/>
          <w:sz w:val="24"/>
        </w:rPr>
        <w:t xml:space="preserve"> </w:t>
      </w:r>
      <w:r w:rsidRPr="004627C7">
        <w:rPr>
          <w:rFonts w:ascii="Times New Roman" w:hAnsi="Times New Roman" w:cs="Times New Roman"/>
          <w:bCs/>
          <w:sz w:val="24"/>
        </w:rPr>
        <w:t>peak</w:t>
      </w:r>
      <w:r w:rsidRPr="004627C7">
        <w:rPr>
          <w:rFonts w:ascii="Times New Roman" w:hAnsi="Times New Roman" w:cs="Times New Roman"/>
          <w:b/>
          <w:sz w:val="24"/>
        </w:rPr>
        <w:t xml:space="preserve">, winter </w:t>
      </w:r>
      <w:r w:rsidRPr="004627C7">
        <w:rPr>
          <w:rFonts w:ascii="Times New Roman" w:hAnsi="Times New Roman" w:cs="Times New Roman"/>
          <w:bCs/>
          <w:sz w:val="24"/>
        </w:rPr>
        <w:t>peak, and</w:t>
      </w:r>
      <w:r w:rsidRPr="004627C7">
        <w:rPr>
          <w:rFonts w:ascii="Times New Roman" w:hAnsi="Times New Roman" w:cs="Times New Roman"/>
          <w:b/>
          <w:sz w:val="24"/>
        </w:rPr>
        <w:t xml:space="preserve"> light</w:t>
      </w:r>
      <w:r w:rsidRPr="004627C7">
        <w:rPr>
          <w:rFonts w:ascii="Times New Roman" w:hAnsi="Times New Roman" w:cs="Times New Roman"/>
          <w:sz w:val="24"/>
        </w:rPr>
        <w:t xml:space="preserve"> load cases for the following base case conditions, and as specified under the subsequent sections of this Scope:</w:t>
      </w:r>
    </w:p>
    <w:p w14:paraId="1C6B7D3D" w14:textId="05A21FA7"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u w:val="single"/>
        </w:rPr>
        <w:t>Case 1</w:t>
      </w:r>
      <w:r w:rsidRPr="004627C7">
        <w:rPr>
          <w:rFonts w:ascii="Times New Roman" w:hAnsi="Times New Roman" w:cs="Times New Roman"/>
          <w:sz w:val="24"/>
        </w:rPr>
        <w:t>- Base Case without the Project. The Base Cases will include the baseline system and the proposed projects listed in Appendix A of this scope. The short circuit Base Case will model all the projects as in-service. The steady state Base Case will normally model all projects</w:t>
      </w:r>
      <w:r w:rsidR="008817A1" w:rsidRPr="004627C7">
        <w:rPr>
          <w:rFonts w:ascii="Times New Roman" w:hAnsi="Times New Roman" w:cs="Times New Roman"/>
          <w:sz w:val="24"/>
        </w:rPr>
        <w:t xml:space="preserve"> as</w:t>
      </w:r>
      <w:r w:rsidRPr="004627C7">
        <w:rPr>
          <w:rFonts w:ascii="Times New Roman" w:hAnsi="Times New Roman" w:cs="Times New Roman"/>
          <w:sz w:val="24"/>
        </w:rPr>
        <w:t xml:space="preserve"> in-service and at full </w:t>
      </w:r>
      <w:r w:rsidR="00CB1634" w:rsidRPr="004627C7">
        <w:rPr>
          <w:rFonts w:ascii="Times New Roman" w:hAnsi="Times New Roman" w:cs="Times New Roman"/>
          <w:sz w:val="24"/>
        </w:rPr>
        <w:t>output but</w:t>
      </w:r>
      <w:r w:rsidRPr="004627C7">
        <w:rPr>
          <w:rFonts w:ascii="Times New Roman" w:hAnsi="Times New Roman" w:cs="Times New Roman"/>
          <w:sz w:val="24"/>
        </w:rPr>
        <w:t xml:space="preserve"> may model some projects as out-of-service or </w:t>
      </w:r>
      <w:r w:rsidR="008817A1" w:rsidRPr="004627C7">
        <w:rPr>
          <w:rFonts w:ascii="Times New Roman" w:hAnsi="Times New Roman" w:cs="Times New Roman"/>
          <w:sz w:val="24"/>
        </w:rPr>
        <w:t xml:space="preserve">at </w:t>
      </w:r>
      <w:r w:rsidRPr="004627C7">
        <w:rPr>
          <w:rFonts w:ascii="Times New Roman" w:hAnsi="Times New Roman" w:cs="Times New Roman"/>
          <w:sz w:val="24"/>
        </w:rPr>
        <w:t xml:space="preserve">less than full output as necessary to establish a feasible base dispatch. Generation will be dispatched in accordance with the NYISO Minimum Interconnection Standard. </w:t>
      </w:r>
      <w:r w:rsidRPr="004627C7">
        <w:rPr>
          <w:rStyle w:val="FootnoteReference"/>
          <w:rFonts w:ascii="Times New Roman" w:hAnsi="Times New Roman" w:cs="Times New Roman"/>
          <w:sz w:val="24"/>
        </w:rPr>
        <w:footnoteReference w:id="2"/>
      </w:r>
    </w:p>
    <w:p w14:paraId="5C1C59B7" w14:textId="510E3A45"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u w:val="single"/>
        </w:rPr>
        <w:lastRenderedPageBreak/>
        <w:t>Case 2</w:t>
      </w:r>
      <w:r w:rsidRPr="004627C7">
        <w:rPr>
          <w:rFonts w:ascii="Times New Roman" w:hAnsi="Times New Roman" w:cs="Times New Roman"/>
          <w:sz w:val="24"/>
        </w:rPr>
        <w:t>- Case 1 with the Project modeled as in-service at full output</w:t>
      </w:r>
      <w:r w:rsidR="00E7446F" w:rsidRPr="004627C7">
        <w:rPr>
          <w:rFonts w:ascii="Times New Roman" w:hAnsi="Times New Roman" w:cs="Times New Roman"/>
          <w:sz w:val="24"/>
        </w:rPr>
        <w:t xml:space="preserve"> of 2100 MW at the POI</w:t>
      </w:r>
      <w:r w:rsidRPr="004627C7">
        <w:rPr>
          <w:rFonts w:ascii="Times New Roman" w:hAnsi="Times New Roman" w:cs="Times New Roman"/>
          <w:sz w:val="24"/>
        </w:rPr>
        <w:t>. Unit and facility reactive resources for the Project will be represented. Generation will be re-dispatched in the steady state case, as needed, in accordance with the NYISO Minimum Interconnection Standard.</w:t>
      </w:r>
    </w:p>
    <w:p w14:paraId="27F963EE" w14:textId="257B608D" w:rsidR="00EF45D8" w:rsidRPr="004627C7" w:rsidRDefault="00EF45D8" w:rsidP="00EF45D8">
      <w:pPr>
        <w:jc w:val="both"/>
        <w:rPr>
          <w:rFonts w:ascii="Times New Roman" w:hAnsi="Times New Roman" w:cs="Times New Roman"/>
          <w:b/>
          <w:bCs/>
          <w:sz w:val="24"/>
        </w:rPr>
      </w:pPr>
    </w:p>
    <w:p w14:paraId="0933D8D1" w14:textId="39C8654D"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Analysis</w:t>
      </w:r>
    </w:p>
    <w:p w14:paraId="57E3090C" w14:textId="4F624459"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Thermal, voltage, stability and short circuit analyses will be conducted to assess the performance of the base system conditions within the Study Area, with and without the Project, in accordance with Applicable Reliability Standards, guidelines and study practices. Modifications to Base Cases, during analyses, will be documented in the Study Report.</w:t>
      </w:r>
    </w:p>
    <w:p w14:paraId="07E4DA82" w14:textId="719F6E56" w:rsidR="00EF45D8" w:rsidRPr="004627C7" w:rsidRDefault="00EF45D8" w:rsidP="00EF45D8">
      <w:pPr>
        <w:jc w:val="both"/>
        <w:rPr>
          <w:rFonts w:ascii="Times New Roman" w:hAnsi="Times New Roman" w:cs="Times New Roman"/>
          <w:b/>
          <w:bCs/>
          <w:sz w:val="24"/>
        </w:rPr>
      </w:pPr>
    </w:p>
    <w:p w14:paraId="0C58D387" w14:textId="77EB6426" w:rsidR="00EF45D8" w:rsidRPr="004627C7" w:rsidRDefault="00EF45D8" w:rsidP="00EF45D8">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Steady State Analyses: N-0 and N-1</w:t>
      </w:r>
    </w:p>
    <w:p w14:paraId="1C6DFBF8" w14:textId="3556E3FA" w:rsidR="00EF45D8" w:rsidRPr="004627C7" w:rsidRDefault="00EF45D8" w:rsidP="00EF45D8">
      <w:pPr>
        <w:ind w:left="720"/>
        <w:jc w:val="both"/>
        <w:rPr>
          <w:rFonts w:ascii="Times New Roman" w:hAnsi="Times New Roman" w:cs="Times New Roman"/>
          <w:sz w:val="24"/>
        </w:rPr>
      </w:pPr>
      <w:r w:rsidRPr="004627C7">
        <w:rPr>
          <w:rFonts w:ascii="Times New Roman" w:hAnsi="Times New Roman" w:cs="Times New Roman"/>
          <w:sz w:val="24"/>
        </w:rPr>
        <w:t xml:space="preserve">Thermal and voltage steady state analyses, using PSS/E or a comparable load flow program, will be conducted </w:t>
      </w:r>
      <w:r w:rsidR="002E7286" w:rsidRPr="004627C7">
        <w:rPr>
          <w:rFonts w:ascii="Times New Roman" w:hAnsi="Times New Roman" w:cs="Times New Roman"/>
          <w:sz w:val="24"/>
        </w:rPr>
        <w:t xml:space="preserve">for </w:t>
      </w:r>
      <w:r w:rsidR="002E7286" w:rsidRPr="004627C7">
        <w:rPr>
          <w:rFonts w:ascii="Times New Roman" w:hAnsi="Times New Roman" w:cs="Times New Roman"/>
          <w:b/>
          <w:sz w:val="24"/>
        </w:rPr>
        <w:t>summer</w:t>
      </w:r>
      <w:r w:rsidRPr="004627C7">
        <w:rPr>
          <w:rFonts w:ascii="Times New Roman" w:hAnsi="Times New Roman" w:cs="Times New Roman"/>
          <w:b/>
          <w:sz w:val="24"/>
        </w:rPr>
        <w:t xml:space="preserve"> </w:t>
      </w:r>
      <w:r w:rsidRPr="004627C7">
        <w:rPr>
          <w:rFonts w:ascii="Times New Roman" w:hAnsi="Times New Roman" w:cs="Times New Roman"/>
          <w:bCs/>
          <w:sz w:val="24"/>
        </w:rPr>
        <w:t>peak</w:t>
      </w:r>
      <w:r w:rsidRPr="004627C7">
        <w:rPr>
          <w:rFonts w:ascii="Times New Roman" w:hAnsi="Times New Roman" w:cs="Times New Roman"/>
          <w:b/>
          <w:sz w:val="24"/>
        </w:rPr>
        <w:t xml:space="preserve"> </w:t>
      </w:r>
      <w:r w:rsidRPr="004627C7">
        <w:rPr>
          <w:rFonts w:ascii="Times New Roman" w:hAnsi="Times New Roman" w:cs="Times New Roman"/>
          <w:bCs/>
          <w:sz w:val="24"/>
        </w:rPr>
        <w:t xml:space="preserve">and </w:t>
      </w:r>
      <w:r w:rsidRPr="004627C7">
        <w:rPr>
          <w:rFonts w:ascii="Times New Roman" w:hAnsi="Times New Roman" w:cs="Times New Roman"/>
          <w:b/>
          <w:sz w:val="24"/>
        </w:rPr>
        <w:t xml:space="preserve">winter </w:t>
      </w:r>
      <w:r w:rsidRPr="004627C7">
        <w:rPr>
          <w:rFonts w:ascii="Times New Roman" w:hAnsi="Times New Roman" w:cs="Times New Roman"/>
          <w:bCs/>
          <w:sz w:val="24"/>
        </w:rPr>
        <w:t>peak</w:t>
      </w:r>
      <w:r w:rsidRPr="004627C7">
        <w:rPr>
          <w:rFonts w:ascii="Times New Roman" w:hAnsi="Times New Roman" w:cs="Times New Roman"/>
          <w:sz w:val="24"/>
        </w:rPr>
        <w:t xml:space="preserve"> load cases, pre-contingency </w:t>
      </w:r>
      <w:proofErr w:type="gramStart"/>
      <w:r w:rsidRPr="004627C7">
        <w:rPr>
          <w:rFonts w:ascii="Times New Roman" w:hAnsi="Times New Roman" w:cs="Times New Roman"/>
          <w:sz w:val="24"/>
        </w:rPr>
        <w:t>and also</w:t>
      </w:r>
      <w:proofErr w:type="gramEnd"/>
      <w:r w:rsidRPr="004627C7">
        <w:rPr>
          <w:rFonts w:ascii="Times New Roman" w:hAnsi="Times New Roman" w:cs="Times New Roman"/>
          <w:sz w:val="24"/>
        </w:rPr>
        <w:t xml:space="preserve"> for relevant Design Criteria Contingencies conditions, and will be limited to the Study Area.  </w:t>
      </w:r>
    </w:p>
    <w:p w14:paraId="6C4E51BE" w14:textId="6D8DC29A" w:rsidR="00EF45D8" w:rsidRPr="004627C7" w:rsidRDefault="00EF45D8" w:rsidP="00EF45D8">
      <w:pPr>
        <w:ind w:left="720"/>
        <w:jc w:val="both"/>
        <w:rPr>
          <w:rFonts w:ascii="Times New Roman" w:hAnsi="Times New Roman" w:cs="Times New Roman"/>
          <w:sz w:val="24"/>
        </w:rPr>
      </w:pPr>
      <w:r w:rsidRPr="004627C7">
        <w:rPr>
          <w:rFonts w:ascii="Times New Roman" w:hAnsi="Times New Roman" w:cs="Times New Roman"/>
          <w:sz w:val="24"/>
        </w:rPr>
        <w:t>Thermal limits will be assessed under both Normal Criteria and Emergency Criteria, using normal ratings pre-contingency and applicable post-contingency ratings</w:t>
      </w:r>
      <w:r w:rsidRPr="004627C7">
        <w:rPr>
          <w:rFonts w:ascii="Times New Roman" w:hAnsi="Times New Roman" w:cs="Times New Roman"/>
          <w:i/>
          <w:iCs/>
          <w:sz w:val="24"/>
        </w:rPr>
        <w:t xml:space="preserve"> (e.g.</w:t>
      </w:r>
      <w:r w:rsidRPr="004627C7">
        <w:rPr>
          <w:rFonts w:ascii="Times New Roman" w:hAnsi="Times New Roman" w:cs="Times New Roman"/>
          <w:sz w:val="24"/>
        </w:rPr>
        <w:t>, Long-Term-Emergency, LTE, ratings or Short-Term-Emergency, STE, ratings).</w:t>
      </w:r>
    </w:p>
    <w:p w14:paraId="3E12742F" w14:textId="6A517858" w:rsidR="00EF45D8" w:rsidRPr="004627C7" w:rsidRDefault="00EF45D8" w:rsidP="00FD0977">
      <w:pPr>
        <w:ind w:left="720"/>
        <w:jc w:val="both"/>
        <w:rPr>
          <w:rFonts w:ascii="Times New Roman" w:hAnsi="Times New Roman" w:cs="Times New Roman"/>
          <w:b/>
          <w:bCs/>
          <w:sz w:val="24"/>
        </w:rPr>
      </w:pPr>
      <w:r w:rsidRPr="004627C7">
        <w:rPr>
          <w:rFonts w:ascii="Times New Roman" w:hAnsi="Times New Roman" w:cs="Times New Roman"/>
          <w:sz w:val="24"/>
        </w:rPr>
        <w:t>Voltage limits will be assessed, pre- and post-contingency, using the applicable voltage limits.</w:t>
      </w:r>
    </w:p>
    <w:p w14:paraId="4F7972A0" w14:textId="775F302A" w:rsidR="00EF45D8" w:rsidRPr="004627C7" w:rsidRDefault="00EF45D8" w:rsidP="00EF45D8">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Steady State Analys</w:t>
      </w:r>
      <w:r w:rsidR="008817A1" w:rsidRPr="004627C7">
        <w:rPr>
          <w:rFonts w:ascii="Times New Roman" w:hAnsi="Times New Roman" w:cs="Times New Roman"/>
          <w:b/>
          <w:bCs/>
          <w:sz w:val="24"/>
        </w:rPr>
        <w:t>i</w:t>
      </w:r>
      <w:r w:rsidRPr="004627C7">
        <w:rPr>
          <w:rFonts w:ascii="Times New Roman" w:hAnsi="Times New Roman" w:cs="Times New Roman"/>
          <w:b/>
          <w:bCs/>
          <w:sz w:val="24"/>
        </w:rPr>
        <w:t>s: N-1-1</w:t>
      </w:r>
    </w:p>
    <w:p w14:paraId="52987AE4" w14:textId="61FF029E" w:rsidR="00EF45D8" w:rsidRPr="004627C7" w:rsidRDefault="00EF45D8" w:rsidP="00FD0977">
      <w:pPr>
        <w:ind w:left="720"/>
        <w:jc w:val="both"/>
        <w:rPr>
          <w:rFonts w:ascii="Times New Roman" w:hAnsi="Times New Roman" w:cs="Times New Roman"/>
          <w:b/>
          <w:bCs/>
          <w:sz w:val="24"/>
        </w:rPr>
      </w:pPr>
      <w:r w:rsidRPr="004627C7">
        <w:rPr>
          <w:rFonts w:ascii="Times New Roman" w:hAnsi="Times New Roman" w:cs="Times New Roman"/>
          <w:sz w:val="24"/>
        </w:rPr>
        <w:t>The Study will evaluate a limited selection of N-1-1 contingencies around the POI. Steady state analyses (</w:t>
      </w:r>
      <w:r w:rsidRPr="004627C7">
        <w:rPr>
          <w:rFonts w:ascii="Times New Roman" w:hAnsi="Times New Roman" w:cs="Times New Roman"/>
          <w:b/>
          <w:sz w:val="24"/>
        </w:rPr>
        <w:t xml:space="preserve">summer </w:t>
      </w:r>
      <w:r w:rsidRPr="004627C7">
        <w:rPr>
          <w:rFonts w:ascii="Times New Roman" w:hAnsi="Times New Roman" w:cs="Times New Roman"/>
          <w:bCs/>
          <w:sz w:val="24"/>
        </w:rPr>
        <w:t>peak</w:t>
      </w:r>
      <w:r w:rsidRPr="004627C7">
        <w:rPr>
          <w:rFonts w:ascii="Times New Roman" w:hAnsi="Times New Roman" w:cs="Times New Roman"/>
          <w:b/>
          <w:sz w:val="24"/>
        </w:rPr>
        <w:t xml:space="preserve"> and winter </w:t>
      </w:r>
      <w:r w:rsidRPr="004627C7">
        <w:rPr>
          <w:rFonts w:ascii="Times New Roman" w:hAnsi="Times New Roman" w:cs="Times New Roman"/>
          <w:bCs/>
          <w:sz w:val="24"/>
        </w:rPr>
        <w:t>peak</w:t>
      </w:r>
      <w:r w:rsidRPr="004627C7">
        <w:rPr>
          <w:rFonts w:ascii="Times New Roman" w:hAnsi="Times New Roman" w:cs="Times New Roman"/>
          <w:sz w:val="24"/>
        </w:rPr>
        <w:t>)</w:t>
      </w:r>
      <w:r w:rsidR="002E7286" w:rsidRPr="004627C7">
        <w:rPr>
          <w:rFonts w:ascii="Times New Roman" w:hAnsi="Times New Roman" w:cs="Times New Roman"/>
          <w:sz w:val="24"/>
        </w:rPr>
        <w:t xml:space="preserve"> </w:t>
      </w:r>
      <w:r w:rsidRPr="004627C7">
        <w:rPr>
          <w:rFonts w:ascii="Times New Roman" w:hAnsi="Times New Roman" w:cs="Times New Roman"/>
          <w:sz w:val="24"/>
        </w:rPr>
        <w:t>will be performed based on the N-1-1 contingency descriptions provided by the CTO(s) and/or the NYISO.</w:t>
      </w:r>
    </w:p>
    <w:p w14:paraId="20037A76" w14:textId="77777777" w:rsidR="00B90045" w:rsidRPr="004627C7" w:rsidRDefault="00B90045" w:rsidP="00B90045">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Stability Analysis</w:t>
      </w:r>
    </w:p>
    <w:p w14:paraId="38DA0BCD" w14:textId="6DC999A7" w:rsidR="00B90045" w:rsidRDefault="00B90045" w:rsidP="00FD0977">
      <w:pPr>
        <w:ind w:left="720"/>
        <w:jc w:val="both"/>
        <w:rPr>
          <w:rFonts w:ascii="Times New Roman" w:hAnsi="Times New Roman" w:cs="Times New Roman"/>
          <w:sz w:val="24"/>
        </w:rPr>
      </w:pPr>
      <w:r w:rsidRPr="004627C7">
        <w:rPr>
          <w:rFonts w:ascii="Times New Roman" w:hAnsi="Times New Roman" w:cs="Times New Roman"/>
          <w:sz w:val="24"/>
        </w:rPr>
        <w:t xml:space="preserve">Stability analysis, using PSS/E v34, will be performed for </w:t>
      </w:r>
      <w:r w:rsidRPr="004627C7">
        <w:rPr>
          <w:rFonts w:ascii="Times New Roman" w:hAnsi="Times New Roman" w:cs="Times New Roman"/>
          <w:b/>
          <w:sz w:val="24"/>
        </w:rPr>
        <w:t xml:space="preserve">summer </w:t>
      </w:r>
      <w:r w:rsidRPr="004627C7">
        <w:rPr>
          <w:rFonts w:ascii="Times New Roman" w:hAnsi="Times New Roman" w:cs="Times New Roman"/>
          <w:bCs/>
          <w:sz w:val="24"/>
        </w:rPr>
        <w:t>peak</w:t>
      </w:r>
      <w:r w:rsidRPr="004627C7">
        <w:rPr>
          <w:rFonts w:ascii="Times New Roman" w:hAnsi="Times New Roman" w:cs="Times New Roman"/>
          <w:sz w:val="24"/>
        </w:rPr>
        <w:t xml:space="preserve"> and </w:t>
      </w:r>
      <w:r w:rsidRPr="004627C7">
        <w:rPr>
          <w:rFonts w:ascii="Times New Roman" w:hAnsi="Times New Roman" w:cs="Times New Roman"/>
          <w:b/>
          <w:sz w:val="24"/>
        </w:rPr>
        <w:t>light</w:t>
      </w:r>
      <w:r w:rsidRPr="004627C7">
        <w:rPr>
          <w:rFonts w:ascii="Times New Roman" w:hAnsi="Times New Roman" w:cs="Times New Roman"/>
          <w:sz w:val="24"/>
        </w:rPr>
        <w:t xml:space="preserve"> load conditions to determine the impact of the Project on system performance within the Study Area. This analysis will evaluate the performance of the system for Design Criteria Contingencies and will address issues including, but not limited to, transient stability, dynamic stability</w:t>
      </w:r>
      <w:r w:rsidRPr="004627C7">
        <w:rPr>
          <w:rFonts w:ascii="Times New Roman" w:hAnsi="Times New Roman" w:cs="Times New Roman"/>
          <w:i/>
          <w:iCs/>
          <w:sz w:val="24"/>
        </w:rPr>
        <w:t xml:space="preserve"> (i.e.</w:t>
      </w:r>
      <w:r w:rsidRPr="004627C7">
        <w:rPr>
          <w:rFonts w:ascii="Times New Roman" w:hAnsi="Times New Roman" w:cs="Times New Roman"/>
          <w:sz w:val="24"/>
        </w:rPr>
        <w:t>, damping), critical clearing time, coordination of protection and control systems, and performance of any Special Protection Systems that may be affected. These analyses will explicitly consider the voltage and frequency ride-through capabilities of the facility.</w:t>
      </w:r>
    </w:p>
    <w:p w14:paraId="63708CCE" w14:textId="77777777" w:rsidR="00434AF2" w:rsidRDefault="00434AF2" w:rsidP="00FD0977">
      <w:pPr>
        <w:ind w:left="720"/>
        <w:jc w:val="both"/>
        <w:rPr>
          <w:rFonts w:ascii="Times New Roman" w:hAnsi="Times New Roman" w:cs="Times New Roman"/>
          <w:sz w:val="24"/>
        </w:rPr>
      </w:pPr>
    </w:p>
    <w:p w14:paraId="4FC0B586" w14:textId="77777777" w:rsidR="00434AF2" w:rsidRPr="004627C7" w:rsidRDefault="00434AF2" w:rsidP="00FD0977">
      <w:pPr>
        <w:ind w:left="720"/>
        <w:jc w:val="both"/>
        <w:rPr>
          <w:rFonts w:ascii="Times New Roman" w:hAnsi="Times New Roman" w:cs="Times New Roman"/>
          <w:b/>
          <w:bCs/>
          <w:sz w:val="24"/>
        </w:rPr>
      </w:pPr>
    </w:p>
    <w:p w14:paraId="3FB52BBD" w14:textId="77777777" w:rsidR="00B90045" w:rsidRPr="004627C7" w:rsidRDefault="00B90045" w:rsidP="00B90045">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lastRenderedPageBreak/>
        <w:t>Transfer Assessments</w:t>
      </w:r>
    </w:p>
    <w:p w14:paraId="7058A225" w14:textId="2641D8FF" w:rsidR="00B90045" w:rsidRPr="004627C7" w:rsidRDefault="00B90045" w:rsidP="00B90045">
      <w:pPr>
        <w:ind w:left="720"/>
        <w:jc w:val="both"/>
        <w:rPr>
          <w:rFonts w:ascii="Times New Roman" w:hAnsi="Times New Roman" w:cs="Times New Roman"/>
          <w:sz w:val="24"/>
        </w:rPr>
      </w:pPr>
      <w:r w:rsidRPr="004627C7">
        <w:rPr>
          <w:rFonts w:ascii="Times New Roman" w:hAnsi="Times New Roman" w:cs="Times New Roman"/>
          <w:sz w:val="24"/>
        </w:rPr>
        <w:t xml:space="preserve">The transfer assessment will determine the incremental impact of the project on the Normal and Emergency transfer limits of the </w:t>
      </w:r>
      <w:r w:rsidRPr="004627C7">
        <w:rPr>
          <w:rFonts w:ascii="Times New Roman" w:hAnsi="Times New Roman" w:cs="Times New Roman"/>
          <w:b/>
          <w:bCs/>
          <w:sz w:val="24"/>
        </w:rPr>
        <w:t>UPNY-</w:t>
      </w:r>
      <w:proofErr w:type="spellStart"/>
      <w:r w:rsidRPr="004627C7">
        <w:rPr>
          <w:rFonts w:ascii="Times New Roman" w:hAnsi="Times New Roman" w:cs="Times New Roman"/>
          <w:b/>
          <w:bCs/>
          <w:sz w:val="24"/>
        </w:rPr>
        <w:t>ConEd</w:t>
      </w:r>
      <w:proofErr w:type="spellEnd"/>
      <w:r w:rsidRPr="004627C7">
        <w:rPr>
          <w:rFonts w:ascii="Times New Roman" w:hAnsi="Times New Roman" w:cs="Times New Roman"/>
          <w:b/>
          <w:bCs/>
          <w:sz w:val="24"/>
        </w:rPr>
        <w:t xml:space="preserve">, </w:t>
      </w:r>
      <w:proofErr w:type="spellStart"/>
      <w:r w:rsidRPr="004627C7">
        <w:rPr>
          <w:rFonts w:ascii="Times New Roman" w:hAnsi="Times New Roman" w:cs="Times New Roman"/>
          <w:b/>
          <w:bCs/>
          <w:sz w:val="24"/>
        </w:rPr>
        <w:t>Dunwoodie</w:t>
      </w:r>
      <w:proofErr w:type="spellEnd"/>
      <w:r w:rsidRPr="004627C7">
        <w:rPr>
          <w:rFonts w:ascii="Times New Roman" w:hAnsi="Times New Roman" w:cs="Times New Roman"/>
          <w:b/>
          <w:bCs/>
          <w:sz w:val="24"/>
        </w:rPr>
        <w:t xml:space="preserve"> South, LIPA import </w:t>
      </w:r>
      <w:r w:rsidRPr="004627C7">
        <w:rPr>
          <w:rFonts w:ascii="Times New Roman" w:hAnsi="Times New Roman" w:cs="Times New Roman"/>
          <w:sz w:val="24"/>
        </w:rPr>
        <w:t>and</w:t>
      </w:r>
      <w:r w:rsidRPr="004627C7">
        <w:rPr>
          <w:rFonts w:ascii="Times New Roman" w:hAnsi="Times New Roman" w:cs="Times New Roman"/>
          <w:b/>
          <w:bCs/>
          <w:sz w:val="24"/>
        </w:rPr>
        <w:t xml:space="preserve"> NY-PJM/PJM-NY</w:t>
      </w:r>
      <w:r w:rsidR="00FD0977" w:rsidRPr="004627C7">
        <w:rPr>
          <w:rStyle w:val="FootnoteReference"/>
          <w:rFonts w:ascii="Times New Roman" w:hAnsi="Times New Roman" w:cs="Times New Roman"/>
          <w:b/>
          <w:bCs/>
          <w:sz w:val="24"/>
        </w:rPr>
        <w:footnoteReference w:id="3"/>
      </w:r>
      <w:r w:rsidRPr="004627C7">
        <w:rPr>
          <w:rFonts w:ascii="Times New Roman" w:hAnsi="Times New Roman" w:cs="Times New Roman"/>
          <w:b/>
          <w:bCs/>
          <w:sz w:val="24"/>
        </w:rPr>
        <w:t xml:space="preserve"> </w:t>
      </w:r>
      <w:r w:rsidRPr="004627C7">
        <w:rPr>
          <w:rFonts w:ascii="Times New Roman" w:hAnsi="Times New Roman" w:cs="Times New Roman"/>
          <w:sz w:val="24"/>
        </w:rPr>
        <w:t>interface</w:t>
      </w:r>
      <w:r w:rsidR="00FD0977" w:rsidRPr="004627C7">
        <w:rPr>
          <w:rFonts w:ascii="Times New Roman" w:hAnsi="Times New Roman" w:cs="Times New Roman"/>
          <w:sz w:val="24"/>
        </w:rPr>
        <w:t>s</w:t>
      </w:r>
      <w:r w:rsidRPr="004627C7">
        <w:rPr>
          <w:rFonts w:ascii="Times New Roman" w:hAnsi="Times New Roman" w:cs="Times New Roman"/>
          <w:sz w:val="24"/>
        </w:rPr>
        <w:t xml:space="preserve"> (opened and closed definitions, as applicable) in accordance with Applicable Reliability Standards, Guidelines and NYISO study practices. The transfer limits will be evaluated in the predominant west-to-east/north-to-south direction, unless otherwise specified. Sufficient analyses will be conducted to determine the most limiting of the thermal, voltage, or stability limits under summer peak load conditions.</w:t>
      </w:r>
    </w:p>
    <w:p w14:paraId="37E40334" w14:textId="746DBB76" w:rsidR="00EF45D8" w:rsidRPr="004627C7" w:rsidRDefault="00B90045" w:rsidP="00FD0977">
      <w:pPr>
        <w:ind w:left="720"/>
        <w:jc w:val="both"/>
        <w:rPr>
          <w:rFonts w:ascii="Times New Roman" w:hAnsi="Times New Roman" w:cs="Times New Roman"/>
          <w:b/>
          <w:bCs/>
          <w:sz w:val="24"/>
        </w:rPr>
      </w:pPr>
      <w:proofErr w:type="gramStart"/>
      <w:r w:rsidRPr="004627C7">
        <w:rPr>
          <w:rFonts w:ascii="Times New Roman" w:hAnsi="Times New Roman" w:cs="Times New Roman"/>
          <w:sz w:val="24"/>
        </w:rPr>
        <w:t>In order to</w:t>
      </w:r>
      <w:proofErr w:type="gramEnd"/>
      <w:r w:rsidRPr="004627C7">
        <w:rPr>
          <w:rFonts w:ascii="Times New Roman" w:hAnsi="Times New Roman" w:cs="Times New Roman"/>
          <w:sz w:val="24"/>
        </w:rPr>
        <w:t xml:space="preserve"> determine transfer limits, the analysis will simulate generation re-dispatches according to the standard proportions used in NYISO transmission planning studies, for NYISO interfaces.  Where applicable, for local interfaces, generation re-dispatching will be done in accordance with Transmission Owner standards and practices.</w:t>
      </w:r>
    </w:p>
    <w:p w14:paraId="332AFBE5" w14:textId="4F4D37C0" w:rsidR="00EF45D8" w:rsidRPr="004627C7" w:rsidRDefault="00EF45D8" w:rsidP="00EF45D8">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Short Circuit Analysis</w:t>
      </w:r>
    </w:p>
    <w:p w14:paraId="60609378" w14:textId="0FEF8E94" w:rsidR="00EF45D8" w:rsidRPr="004627C7" w:rsidRDefault="00EF45D8" w:rsidP="00EF45D8">
      <w:pPr>
        <w:ind w:left="720"/>
        <w:jc w:val="both"/>
        <w:rPr>
          <w:rFonts w:ascii="Times New Roman" w:hAnsi="Times New Roman" w:cs="Times New Roman"/>
          <w:sz w:val="24"/>
        </w:rPr>
      </w:pPr>
      <w:r w:rsidRPr="004627C7">
        <w:rPr>
          <w:rFonts w:ascii="Times New Roman" w:hAnsi="Times New Roman" w:cs="Times New Roman"/>
          <w:sz w:val="24"/>
        </w:rPr>
        <w:t xml:space="preserve">Short circuit analysis will be performed, using ASPEN, to evaluate the impact of the Project on system protection and adequacy of existing circuit breakers, other fault current interrupting devices, and related equipment. All Project impacts of 100 A or more will be identified. </w:t>
      </w:r>
    </w:p>
    <w:p w14:paraId="062DCD5D" w14:textId="0EAB918A" w:rsidR="00EF45D8" w:rsidRPr="004627C7" w:rsidRDefault="00EF45D8" w:rsidP="00FD0977">
      <w:pPr>
        <w:ind w:left="720"/>
        <w:jc w:val="both"/>
        <w:rPr>
          <w:rFonts w:ascii="Times New Roman" w:hAnsi="Times New Roman" w:cs="Times New Roman"/>
          <w:b/>
          <w:bCs/>
          <w:sz w:val="24"/>
        </w:rPr>
      </w:pPr>
      <w:r w:rsidRPr="004627C7">
        <w:rPr>
          <w:rFonts w:ascii="Times New Roman" w:hAnsi="Times New Roman" w:cs="Times New Roman"/>
          <w:sz w:val="24"/>
        </w:rPr>
        <w:t>This analysis will be performed in accordance with the NYISO Guideline for Fault Current Assessment (Attachment I of the NYISO Transmission Expansion and Interconnection Manual), and in accordance with Connecting Transmission Owner and Affected System(s) criteria, to the extent such criteria are recognized as Applicable Reliability Standards.</w:t>
      </w:r>
    </w:p>
    <w:p w14:paraId="054AC7C2" w14:textId="78D86DCD" w:rsidR="00EF45D8" w:rsidRPr="004627C7" w:rsidRDefault="00EF45D8" w:rsidP="00EF45D8">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PARs Impacts</w:t>
      </w:r>
    </w:p>
    <w:p w14:paraId="4A2C2ACC" w14:textId="35307C80" w:rsidR="002E56A5" w:rsidRPr="004627C7" w:rsidRDefault="00EF45D8" w:rsidP="00FD0977">
      <w:pPr>
        <w:ind w:left="720"/>
        <w:jc w:val="both"/>
        <w:rPr>
          <w:rFonts w:ascii="Times New Roman" w:hAnsi="Times New Roman" w:cs="Times New Roman"/>
          <w:sz w:val="24"/>
        </w:rPr>
      </w:pPr>
      <w:r w:rsidRPr="004627C7">
        <w:rPr>
          <w:rFonts w:ascii="Times New Roman" w:hAnsi="Times New Roman" w:cs="Times New Roman"/>
          <w:sz w:val="24"/>
        </w:rPr>
        <w:t>The Project's impact on the ABCJK Phase Angle Regulator (“PARs”) schedule and control ranges will be assessed and reported. The B and C PARs will be modeled as out-of-service.</w:t>
      </w:r>
    </w:p>
    <w:p w14:paraId="3372A31A" w14:textId="77777777" w:rsidR="002E56A5" w:rsidRPr="004627C7" w:rsidRDefault="002E56A5" w:rsidP="002E56A5">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Preliminary Non-Binding Deliverability Analysis</w:t>
      </w:r>
    </w:p>
    <w:p w14:paraId="4D1BBD3E" w14:textId="6742F9B2" w:rsidR="00EE3180" w:rsidRPr="004627C7" w:rsidRDefault="002E56A5" w:rsidP="00FD0977">
      <w:pPr>
        <w:ind w:left="720"/>
        <w:jc w:val="both"/>
        <w:rPr>
          <w:rFonts w:ascii="Times New Roman" w:hAnsi="Times New Roman" w:cs="Times New Roman"/>
          <w:b/>
          <w:bCs/>
          <w:sz w:val="24"/>
        </w:rPr>
      </w:pPr>
      <w:r w:rsidRPr="004627C7">
        <w:rPr>
          <w:rFonts w:ascii="Times New Roman" w:hAnsi="Times New Roman" w:cs="Times New Roman"/>
          <w:sz w:val="24"/>
        </w:rPr>
        <w:t>The Study will include a preliminary non-binding deliverability analysis performed under the NYISO Deliverability Interconnection Standard.</w:t>
      </w:r>
    </w:p>
    <w:p w14:paraId="35A9DD1A" w14:textId="77777777" w:rsidR="002E56A5" w:rsidRPr="004627C7" w:rsidRDefault="002E56A5" w:rsidP="002E56A5">
      <w:pPr>
        <w:pStyle w:val="ListParagraph"/>
        <w:numPr>
          <w:ilvl w:val="0"/>
          <w:numId w:val="2"/>
        </w:numPr>
        <w:jc w:val="both"/>
        <w:rPr>
          <w:rFonts w:ascii="Times New Roman" w:hAnsi="Times New Roman" w:cs="Times New Roman"/>
          <w:b/>
          <w:bCs/>
          <w:sz w:val="24"/>
        </w:rPr>
      </w:pPr>
      <w:r w:rsidRPr="004627C7">
        <w:rPr>
          <w:rFonts w:ascii="Times New Roman" w:hAnsi="Times New Roman" w:cs="Times New Roman"/>
          <w:b/>
          <w:bCs/>
          <w:sz w:val="24"/>
        </w:rPr>
        <w:t xml:space="preserve">Feasibility Analysis </w:t>
      </w:r>
    </w:p>
    <w:p w14:paraId="5093F7A6" w14:textId="77777777" w:rsidR="002E56A5" w:rsidRPr="004627C7" w:rsidRDefault="002E56A5" w:rsidP="002E56A5">
      <w:pPr>
        <w:ind w:left="720"/>
        <w:jc w:val="both"/>
        <w:rPr>
          <w:rFonts w:ascii="Times New Roman" w:hAnsi="Times New Roman" w:cs="Times New Roman"/>
          <w:sz w:val="24"/>
        </w:rPr>
      </w:pPr>
      <w:r w:rsidRPr="004627C7">
        <w:rPr>
          <w:rFonts w:ascii="Times New Roman" w:hAnsi="Times New Roman" w:cs="Times New Roman"/>
          <w:sz w:val="24"/>
        </w:rPr>
        <w:t>Bus Flow Analysis will be performed by the CTO.</w:t>
      </w:r>
    </w:p>
    <w:p w14:paraId="579086E7" w14:textId="1ACF37E4" w:rsidR="002E56A5" w:rsidRPr="004627C7" w:rsidRDefault="002E56A5" w:rsidP="002E56A5">
      <w:pPr>
        <w:ind w:left="720"/>
        <w:jc w:val="both"/>
        <w:rPr>
          <w:rFonts w:ascii="Times New Roman" w:hAnsi="Times New Roman" w:cs="Times New Roman"/>
          <w:sz w:val="24"/>
        </w:rPr>
      </w:pPr>
      <w:r w:rsidRPr="004627C7">
        <w:rPr>
          <w:rFonts w:ascii="Times New Roman" w:hAnsi="Times New Roman" w:cs="Times New Roman"/>
          <w:sz w:val="24"/>
        </w:rPr>
        <w:t xml:space="preserve">Bus Flow Analysis, using PSS/E or a comparable load flow program, will be conducted for </w:t>
      </w:r>
      <w:r w:rsidRPr="004627C7">
        <w:rPr>
          <w:rFonts w:ascii="Times New Roman" w:hAnsi="Times New Roman" w:cs="Times New Roman"/>
          <w:b/>
          <w:sz w:val="24"/>
        </w:rPr>
        <w:t xml:space="preserve">summer </w:t>
      </w:r>
      <w:r w:rsidR="00BC5E62" w:rsidRPr="004627C7">
        <w:rPr>
          <w:rFonts w:ascii="Times New Roman" w:hAnsi="Times New Roman" w:cs="Times New Roman"/>
          <w:bCs/>
          <w:sz w:val="24"/>
        </w:rPr>
        <w:t>and</w:t>
      </w:r>
      <w:r w:rsidR="00BC5E62" w:rsidRPr="004627C7">
        <w:rPr>
          <w:rFonts w:ascii="Times New Roman" w:hAnsi="Times New Roman" w:cs="Times New Roman"/>
          <w:b/>
          <w:sz w:val="24"/>
        </w:rPr>
        <w:t xml:space="preserve"> winter </w:t>
      </w:r>
      <w:r w:rsidRPr="004627C7">
        <w:rPr>
          <w:rFonts w:ascii="Times New Roman" w:hAnsi="Times New Roman" w:cs="Times New Roman"/>
          <w:bCs/>
          <w:sz w:val="24"/>
        </w:rPr>
        <w:t>peak</w:t>
      </w:r>
      <w:r w:rsidRPr="004627C7">
        <w:rPr>
          <w:rFonts w:ascii="Times New Roman" w:hAnsi="Times New Roman" w:cs="Times New Roman"/>
          <w:sz w:val="24"/>
        </w:rPr>
        <w:t xml:space="preserve"> case</w:t>
      </w:r>
      <w:r w:rsidR="00A67C30" w:rsidRPr="004627C7">
        <w:rPr>
          <w:rFonts w:ascii="Times New Roman" w:hAnsi="Times New Roman" w:cs="Times New Roman"/>
          <w:sz w:val="24"/>
        </w:rPr>
        <w:t>s</w:t>
      </w:r>
      <w:r w:rsidRPr="004627C7">
        <w:rPr>
          <w:rFonts w:ascii="Times New Roman" w:hAnsi="Times New Roman" w:cs="Times New Roman"/>
          <w:sz w:val="24"/>
        </w:rPr>
        <w:t xml:space="preserve"> and will determine </w:t>
      </w:r>
      <w:r w:rsidR="00BD6D02" w:rsidRPr="004627C7">
        <w:rPr>
          <w:rFonts w:ascii="Times New Roman" w:hAnsi="Times New Roman" w:cs="Times New Roman"/>
          <w:sz w:val="24"/>
        </w:rPr>
        <w:t xml:space="preserve">the </w:t>
      </w:r>
      <w:r w:rsidRPr="004627C7">
        <w:rPr>
          <w:rFonts w:ascii="Times New Roman" w:hAnsi="Times New Roman" w:cs="Times New Roman"/>
          <w:sz w:val="24"/>
        </w:rPr>
        <w:t>thermal adequacy of the major existing and proposed equipment (</w:t>
      </w:r>
      <w:proofErr w:type="spellStart"/>
      <w:r w:rsidRPr="004627C7">
        <w:rPr>
          <w:rFonts w:ascii="Times New Roman" w:hAnsi="Times New Roman" w:cs="Times New Roman"/>
          <w:sz w:val="24"/>
        </w:rPr>
        <w:t>buswork</w:t>
      </w:r>
      <w:proofErr w:type="spellEnd"/>
      <w:r w:rsidRPr="004627C7">
        <w:rPr>
          <w:rFonts w:ascii="Times New Roman" w:hAnsi="Times New Roman" w:cs="Times New Roman"/>
          <w:sz w:val="24"/>
        </w:rPr>
        <w:t>, circuit breaker</w:t>
      </w:r>
      <w:r w:rsidR="00BD6D02" w:rsidRPr="004627C7">
        <w:rPr>
          <w:rFonts w:ascii="Times New Roman" w:hAnsi="Times New Roman" w:cs="Times New Roman"/>
          <w:sz w:val="24"/>
        </w:rPr>
        <w:t>,</w:t>
      </w:r>
      <w:r w:rsidRPr="004627C7">
        <w:rPr>
          <w:rFonts w:ascii="Times New Roman" w:hAnsi="Times New Roman" w:cs="Times New Roman"/>
          <w:sz w:val="24"/>
        </w:rPr>
        <w:t xml:space="preserve"> and disconnect switches) at the POI station.</w:t>
      </w:r>
    </w:p>
    <w:p w14:paraId="5E941F76" w14:textId="7403AA20" w:rsidR="002E56A5" w:rsidRPr="004627C7" w:rsidRDefault="002E56A5" w:rsidP="002E56A5">
      <w:pPr>
        <w:ind w:left="720"/>
        <w:jc w:val="both"/>
        <w:rPr>
          <w:rFonts w:ascii="Times New Roman" w:hAnsi="Times New Roman" w:cs="Times New Roman"/>
          <w:b/>
          <w:bCs/>
          <w:sz w:val="24"/>
        </w:rPr>
      </w:pPr>
      <w:r w:rsidRPr="004627C7">
        <w:rPr>
          <w:rFonts w:ascii="Times New Roman" w:hAnsi="Times New Roman" w:cs="Times New Roman"/>
          <w:sz w:val="24"/>
        </w:rPr>
        <w:lastRenderedPageBreak/>
        <w:t xml:space="preserve">Physical Feasibility Analysis will identify </w:t>
      </w:r>
      <w:r w:rsidR="00BD6D02" w:rsidRPr="004627C7">
        <w:rPr>
          <w:rFonts w:ascii="Times New Roman" w:hAnsi="Times New Roman" w:cs="Times New Roman"/>
          <w:sz w:val="24"/>
        </w:rPr>
        <w:t xml:space="preserve">the </w:t>
      </w:r>
      <w:r w:rsidRPr="004627C7">
        <w:rPr>
          <w:rFonts w:ascii="Times New Roman" w:hAnsi="Times New Roman" w:cs="Times New Roman"/>
          <w:sz w:val="24"/>
        </w:rPr>
        <w:t>physical feasibility of the proposed Project's interconnection at the CTO(s) substation(s)or facility(</w:t>
      </w:r>
      <w:proofErr w:type="spellStart"/>
      <w:r w:rsidRPr="004627C7">
        <w:rPr>
          <w:rFonts w:ascii="Times New Roman" w:hAnsi="Times New Roman" w:cs="Times New Roman"/>
          <w:sz w:val="24"/>
        </w:rPr>
        <w:t>ies</w:t>
      </w:r>
      <w:proofErr w:type="spellEnd"/>
      <w:r w:rsidRPr="004627C7">
        <w:rPr>
          <w:rFonts w:ascii="Times New Roman" w:hAnsi="Times New Roman" w:cs="Times New Roman"/>
          <w:sz w:val="24"/>
        </w:rPr>
        <w:t>) in accordance with the Developer provided one-line diagram.</w:t>
      </w:r>
    </w:p>
    <w:p w14:paraId="68D347D2" w14:textId="5064CBC8"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Modeling Assumptions</w:t>
      </w:r>
    </w:p>
    <w:p w14:paraId="45EA988A" w14:textId="77777777" w:rsidR="00383FBF" w:rsidRPr="004627C7" w:rsidRDefault="00383FBF" w:rsidP="00383FBF">
      <w:pPr>
        <w:pStyle w:val="ListParagraph"/>
        <w:ind w:left="360"/>
        <w:jc w:val="both"/>
        <w:rPr>
          <w:rFonts w:ascii="Times New Roman" w:hAnsi="Times New Roman" w:cs="Times New Roman"/>
          <w:b/>
          <w:bCs/>
          <w:sz w:val="24"/>
        </w:rPr>
      </w:pPr>
    </w:p>
    <w:p w14:paraId="335FFB86" w14:textId="7347BC8B" w:rsidR="00EE3180" w:rsidRPr="004627C7" w:rsidRDefault="00EF45D8" w:rsidP="00EE3180">
      <w:pPr>
        <w:pStyle w:val="ListParagraph"/>
        <w:numPr>
          <w:ilvl w:val="0"/>
          <w:numId w:val="4"/>
        </w:numPr>
        <w:jc w:val="both"/>
        <w:rPr>
          <w:rFonts w:ascii="Times New Roman" w:hAnsi="Times New Roman" w:cs="Times New Roman"/>
          <w:sz w:val="24"/>
        </w:rPr>
      </w:pPr>
      <w:r w:rsidRPr="004627C7">
        <w:rPr>
          <w:rFonts w:ascii="Times New Roman" w:hAnsi="Times New Roman" w:cs="Times New Roman"/>
          <w:sz w:val="24"/>
        </w:rPr>
        <w:t>Phase angle regulators (“PARs”), switched shunts, and LTC transformers will be modeled as regulating pre-contingency and non-regulating post-contingency. The Study will use PAR schedules established by the NYISO in coordination with the neighboring ISOs through the NERC and NPCC base case development processes. PARs may be adjusted as necessary to relieve pre-contingency overloads.</w:t>
      </w:r>
    </w:p>
    <w:p w14:paraId="22190547" w14:textId="77777777" w:rsidR="002E56A5" w:rsidRPr="004627C7" w:rsidRDefault="002E56A5" w:rsidP="002E56A5">
      <w:pPr>
        <w:pStyle w:val="ListParagraph"/>
        <w:jc w:val="both"/>
        <w:rPr>
          <w:rFonts w:ascii="Times New Roman" w:hAnsi="Times New Roman" w:cs="Times New Roman"/>
          <w:sz w:val="24"/>
        </w:rPr>
      </w:pPr>
    </w:p>
    <w:p w14:paraId="5A4E6695" w14:textId="5F329A8D" w:rsidR="00EF45D8" w:rsidRPr="004627C7" w:rsidRDefault="00EF45D8" w:rsidP="00EE3180">
      <w:pPr>
        <w:pStyle w:val="ListParagraph"/>
        <w:numPr>
          <w:ilvl w:val="0"/>
          <w:numId w:val="4"/>
        </w:numPr>
        <w:jc w:val="both"/>
        <w:rPr>
          <w:rFonts w:ascii="Times New Roman" w:hAnsi="Times New Roman" w:cs="Times New Roman"/>
          <w:sz w:val="24"/>
        </w:rPr>
      </w:pPr>
      <w:r w:rsidRPr="004627C7">
        <w:rPr>
          <w:rFonts w:ascii="Times New Roman" w:hAnsi="Times New Roman" w:cs="Times New Roman"/>
          <w:sz w:val="24"/>
        </w:rPr>
        <w:t xml:space="preserve">SVC and FACTS devices will be set to zero pre-contingency and allowed to operate to full range post-contingency. </w:t>
      </w:r>
    </w:p>
    <w:p w14:paraId="1229B35C" w14:textId="605FDC50" w:rsidR="00EF45D8" w:rsidRPr="004627C7" w:rsidRDefault="00EF45D8" w:rsidP="00EF45D8">
      <w:pPr>
        <w:jc w:val="both"/>
        <w:rPr>
          <w:rFonts w:ascii="Times New Roman" w:hAnsi="Times New Roman" w:cs="Times New Roman"/>
          <w:b/>
          <w:bCs/>
          <w:sz w:val="24"/>
        </w:rPr>
      </w:pPr>
    </w:p>
    <w:p w14:paraId="5893C273" w14:textId="11BE1F55"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Evaluation and Identification of Upgrades</w:t>
      </w:r>
    </w:p>
    <w:p w14:paraId="45C4C749" w14:textId="4CF08D88"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 xml:space="preserve">If the Study results indicate that the Project, as proposed, would result in violations of Applicable Reliability Standards, analyses will be performed to identify any System Upgrade Facilities or Distribution Upgrades (if applicable) that would be required to meet the NYISO Minimum Interconnection Standard. When such upgrades are identified, sufficient re-assessments (among those identified in this scope) should be performed </w:t>
      </w:r>
      <w:proofErr w:type="gramStart"/>
      <w:r w:rsidRPr="004627C7">
        <w:rPr>
          <w:rFonts w:ascii="Times New Roman" w:hAnsi="Times New Roman" w:cs="Times New Roman"/>
          <w:sz w:val="24"/>
        </w:rPr>
        <w:t>in order to</w:t>
      </w:r>
      <w:proofErr w:type="gramEnd"/>
      <w:r w:rsidRPr="004627C7">
        <w:rPr>
          <w:rFonts w:ascii="Times New Roman" w:hAnsi="Times New Roman" w:cs="Times New Roman"/>
          <w:sz w:val="24"/>
        </w:rPr>
        <w:t xml:space="preserve"> assure that the upgrades do not cause any adverse reliability impact on the Study Area.</w:t>
      </w:r>
    </w:p>
    <w:p w14:paraId="4994F412" w14:textId="72643E50" w:rsidR="00EF45D8" w:rsidRPr="004627C7" w:rsidRDefault="00EF45D8" w:rsidP="00EF45D8">
      <w:pPr>
        <w:jc w:val="both"/>
        <w:rPr>
          <w:rFonts w:ascii="Times New Roman" w:hAnsi="Times New Roman" w:cs="Times New Roman"/>
          <w:b/>
          <w:bCs/>
          <w:sz w:val="24"/>
        </w:rPr>
      </w:pPr>
    </w:p>
    <w:p w14:paraId="0AB772DC" w14:textId="00F80CDE"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Cost Estimates of Facilities and Time to Construct</w:t>
      </w:r>
    </w:p>
    <w:p w14:paraId="47125D44" w14:textId="0ACC7398" w:rsidR="00EF45D8" w:rsidRPr="004627C7" w:rsidRDefault="00EF45D8" w:rsidP="00EF45D8">
      <w:pPr>
        <w:jc w:val="both"/>
        <w:rPr>
          <w:rFonts w:ascii="Times New Roman" w:hAnsi="Times New Roman" w:cs="Times New Roman"/>
          <w:b/>
          <w:bCs/>
          <w:sz w:val="24"/>
        </w:rPr>
      </w:pPr>
      <w:r w:rsidRPr="004627C7">
        <w:rPr>
          <w:rFonts w:ascii="Times New Roman" w:hAnsi="Times New Roman" w:cs="Times New Roman"/>
          <w:sz w:val="24"/>
        </w:rPr>
        <w:t>A description of facilities</w:t>
      </w:r>
      <w:r w:rsidRPr="004627C7">
        <w:rPr>
          <w:rFonts w:ascii="Times New Roman" w:hAnsi="Times New Roman" w:cs="Times New Roman"/>
          <w:i/>
          <w:iCs/>
          <w:sz w:val="24"/>
        </w:rPr>
        <w:t xml:space="preserve"> (i.e.</w:t>
      </w:r>
      <w:r w:rsidRPr="004627C7">
        <w:rPr>
          <w:rFonts w:ascii="Times New Roman" w:hAnsi="Times New Roman" w:cs="Times New Roman"/>
          <w:sz w:val="24"/>
        </w:rPr>
        <w:t xml:space="preserve">, CTO Attachment Facilities and System Upgrade Facilities, if any) required to interconnect the Project to the NYSTS, or the Distribution System (if applicable), and non-binding good faith estimates of cost and time to construct those facilities, will be provided. </w:t>
      </w:r>
    </w:p>
    <w:p w14:paraId="5E6F9533" w14:textId="77777777" w:rsidR="000503FB" w:rsidRPr="004627C7" w:rsidRDefault="000503FB" w:rsidP="00EF45D8">
      <w:pPr>
        <w:jc w:val="both"/>
        <w:rPr>
          <w:rFonts w:ascii="Times New Roman" w:hAnsi="Times New Roman" w:cs="Times New Roman"/>
          <w:b/>
          <w:bCs/>
          <w:sz w:val="24"/>
        </w:rPr>
      </w:pPr>
    </w:p>
    <w:p w14:paraId="42C6103C" w14:textId="6E76D647" w:rsidR="00EF45D8" w:rsidRPr="004627C7" w:rsidRDefault="00EF45D8" w:rsidP="00EF45D8">
      <w:pPr>
        <w:pStyle w:val="ListParagraph"/>
        <w:numPr>
          <w:ilvl w:val="0"/>
          <w:numId w:val="1"/>
        </w:numPr>
        <w:ind w:left="360"/>
        <w:jc w:val="both"/>
        <w:rPr>
          <w:rFonts w:ascii="Times New Roman" w:hAnsi="Times New Roman" w:cs="Times New Roman"/>
          <w:b/>
          <w:bCs/>
          <w:sz w:val="24"/>
        </w:rPr>
      </w:pPr>
      <w:r w:rsidRPr="004627C7">
        <w:rPr>
          <w:rFonts w:ascii="Times New Roman" w:hAnsi="Times New Roman" w:cs="Times New Roman"/>
          <w:b/>
          <w:bCs/>
          <w:sz w:val="24"/>
        </w:rPr>
        <w:t>Report</w:t>
      </w:r>
    </w:p>
    <w:p w14:paraId="600744B2" w14:textId="4A285296" w:rsidR="00EF45D8" w:rsidRPr="004627C7" w:rsidRDefault="00EF45D8" w:rsidP="00EF45D8">
      <w:pPr>
        <w:jc w:val="both"/>
        <w:rPr>
          <w:rFonts w:ascii="Times New Roman" w:hAnsi="Times New Roman" w:cs="Times New Roman"/>
          <w:sz w:val="24"/>
        </w:rPr>
      </w:pPr>
      <w:r w:rsidRPr="004627C7">
        <w:rPr>
          <w:rFonts w:ascii="Times New Roman" w:hAnsi="Times New Roman" w:cs="Times New Roman"/>
          <w:sz w:val="24"/>
        </w:rPr>
        <w:t>The Study Report will document the summary of the results relevant to the project impacts, project description, project modeling, study assumptions, criteria and methodology, mitigation solutions and their impact assessment, and conclusions, for each of the analyses identified in this scope.</w:t>
      </w:r>
    </w:p>
    <w:p w14:paraId="6EB07DFF" w14:textId="77777777" w:rsidR="00FD0977" w:rsidRPr="004627C7" w:rsidRDefault="00FD0977">
      <w:pPr>
        <w:rPr>
          <w:rFonts w:ascii="Times New Roman" w:hAnsi="Times New Roman" w:cs="Times New Roman"/>
          <w:sz w:val="24"/>
        </w:rPr>
      </w:pPr>
      <w:r w:rsidRPr="004627C7">
        <w:rPr>
          <w:rFonts w:ascii="Times New Roman" w:hAnsi="Times New Roman" w:cs="Times New Roman"/>
          <w:sz w:val="24"/>
        </w:rPr>
        <w:br w:type="page"/>
      </w:r>
    </w:p>
    <w:p w14:paraId="76903F03" w14:textId="02A3A616" w:rsidR="00EF45D8" w:rsidRPr="004627C7" w:rsidRDefault="00EF45D8" w:rsidP="00434AF2">
      <w:pPr>
        <w:jc w:val="center"/>
        <w:rPr>
          <w:rFonts w:ascii="Times New Roman" w:hAnsi="Times New Roman" w:cs="Times New Roman"/>
          <w:b/>
          <w:bCs/>
          <w:sz w:val="24"/>
        </w:rPr>
      </w:pPr>
      <w:r w:rsidRPr="004627C7">
        <w:rPr>
          <w:rFonts w:ascii="Times New Roman" w:hAnsi="Times New Roman" w:cs="Times New Roman"/>
          <w:b/>
          <w:bCs/>
          <w:sz w:val="24"/>
        </w:rPr>
        <w:lastRenderedPageBreak/>
        <w:t>Appendix A</w:t>
      </w:r>
    </w:p>
    <w:p w14:paraId="5B274DD7" w14:textId="37CA208D" w:rsidR="00EF45D8" w:rsidRPr="004627C7" w:rsidRDefault="00EF45D8" w:rsidP="00EF45D8">
      <w:pPr>
        <w:jc w:val="center"/>
        <w:rPr>
          <w:rFonts w:ascii="Times New Roman" w:hAnsi="Times New Roman" w:cs="Times New Roman"/>
          <w:b/>
          <w:bCs/>
          <w:sz w:val="24"/>
        </w:rPr>
      </w:pPr>
      <w:r w:rsidRPr="004627C7">
        <w:rPr>
          <w:rFonts w:ascii="Times New Roman" w:hAnsi="Times New Roman" w:cs="Times New Roman"/>
          <w:b/>
          <w:bCs/>
          <w:sz w:val="24"/>
        </w:rPr>
        <w:t>List of Other Proposed Projects to be Modeled in the Base Case</w:t>
      </w:r>
    </w:p>
    <w:p w14:paraId="604F8841" w14:textId="56DB5D2B" w:rsidR="00EF45D8" w:rsidRPr="004627C7" w:rsidRDefault="00EF45D8" w:rsidP="00EF45D8">
      <w:pPr>
        <w:jc w:val="center"/>
        <w:rPr>
          <w:rFonts w:ascii="Times New Roman" w:hAnsi="Times New Roman" w:cs="Times New Roman"/>
          <w:b/>
          <w:bCs/>
          <w:sz w:val="24"/>
        </w:rPr>
      </w:pPr>
      <w:r w:rsidRPr="004627C7">
        <w:rPr>
          <w:rFonts w:ascii="Times New Roman" w:hAnsi="Times New Roman" w:cs="Times New Roman"/>
          <w:b/>
          <w:bCs/>
          <w:sz w:val="24"/>
        </w:rPr>
        <w:t>Queue#</w:t>
      </w:r>
      <w:r w:rsidRPr="004627C7">
        <w:rPr>
          <w:rFonts w:ascii="Times New Roman" w:hAnsi="Times New Roman" w:cs="Times New Roman"/>
          <w:b/>
          <w:bCs/>
          <w:i/>
          <w:sz w:val="24"/>
        </w:rPr>
        <w:t>1341:</w:t>
      </w:r>
      <w:r w:rsidR="000503FB" w:rsidRPr="004627C7">
        <w:rPr>
          <w:rFonts w:ascii="Times New Roman" w:hAnsi="Times New Roman" w:cs="Times New Roman"/>
          <w:b/>
          <w:bCs/>
          <w:i/>
          <w:sz w:val="24"/>
        </w:rPr>
        <w:t xml:space="preserve"> </w:t>
      </w:r>
      <w:r w:rsidRPr="004627C7">
        <w:rPr>
          <w:rFonts w:ascii="Times New Roman" w:hAnsi="Times New Roman" w:cs="Times New Roman"/>
          <w:b/>
          <w:bCs/>
          <w:i/>
          <w:sz w:val="24"/>
        </w:rPr>
        <w:t>Atlantic Shores Offshore Wind Bight 5</w:t>
      </w:r>
      <w:r w:rsidRPr="004627C7">
        <w:rPr>
          <w:rFonts w:ascii="Times New Roman" w:hAnsi="Times New Roman" w:cs="Times New Roman"/>
          <w:b/>
          <w:bCs/>
          <w:sz w:val="24"/>
        </w:rPr>
        <w:t xml:space="preserve"> Project</w:t>
      </w:r>
    </w:p>
    <w:tbl>
      <w:tblPr>
        <w:tblStyle w:val="TableGrid1"/>
        <w:tblW w:w="0" w:type="auto"/>
        <w:jc w:val="center"/>
        <w:tblLook w:val="04A0" w:firstRow="1" w:lastRow="0" w:firstColumn="1" w:lastColumn="0" w:noHBand="0" w:noVBand="1"/>
      </w:tblPr>
      <w:tblGrid>
        <w:gridCol w:w="1347"/>
        <w:gridCol w:w="5962"/>
        <w:gridCol w:w="1617"/>
      </w:tblGrid>
      <w:tr w:rsidR="004627C7" w:rsidRPr="004627C7" w14:paraId="38A968A5" w14:textId="77777777" w:rsidTr="005700C9">
        <w:trPr>
          <w:trHeight w:val="465"/>
          <w:jc w:val="center"/>
        </w:trPr>
        <w:tc>
          <w:tcPr>
            <w:tcW w:w="1347" w:type="dxa"/>
            <w:tcBorders>
              <w:bottom w:val="single" w:sz="4" w:space="0" w:color="auto"/>
            </w:tcBorders>
            <w:hideMark/>
          </w:tcPr>
          <w:p w14:paraId="35C12EAF" w14:textId="77777777" w:rsidR="00322F44" w:rsidRPr="004627C7" w:rsidRDefault="00322F44" w:rsidP="005700C9">
            <w:pPr>
              <w:jc w:val="center"/>
              <w:rPr>
                <w:rFonts w:ascii="Times New Roman" w:eastAsia="Calibri" w:hAnsi="Times New Roman" w:cs="Times New Roman"/>
                <w:b/>
                <w:bCs/>
              </w:rPr>
            </w:pPr>
            <w:r w:rsidRPr="004627C7">
              <w:rPr>
                <w:rFonts w:ascii="Times New Roman" w:eastAsia="Calibri" w:hAnsi="Times New Roman" w:cs="Times New Roman"/>
                <w:b/>
                <w:bCs/>
              </w:rPr>
              <w:t>Queue</w:t>
            </w:r>
            <w:r w:rsidRPr="004627C7">
              <w:rPr>
                <w:rFonts w:ascii="Times New Roman" w:eastAsia="Calibri" w:hAnsi="Times New Roman" w:cs="Times New Roman"/>
                <w:b/>
                <w:bCs/>
              </w:rPr>
              <w:br/>
              <w:t xml:space="preserve"> Pos.</w:t>
            </w:r>
          </w:p>
        </w:tc>
        <w:tc>
          <w:tcPr>
            <w:tcW w:w="5962" w:type="dxa"/>
            <w:tcBorders>
              <w:bottom w:val="single" w:sz="4" w:space="0" w:color="auto"/>
            </w:tcBorders>
            <w:noWrap/>
            <w:vAlign w:val="center"/>
            <w:hideMark/>
          </w:tcPr>
          <w:p w14:paraId="4F28C43E" w14:textId="77777777" w:rsidR="00322F44" w:rsidRPr="004627C7" w:rsidRDefault="00322F44" w:rsidP="005700C9">
            <w:pPr>
              <w:jc w:val="center"/>
              <w:rPr>
                <w:rFonts w:ascii="Times New Roman" w:eastAsia="Calibri" w:hAnsi="Times New Roman" w:cs="Times New Roman"/>
                <w:b/>
                <w:bCs/>
              </w:rPr>
            </w:pPr>
            <w:r w:rsidRPr="004627C7">
              <w:rPr>
                <w:rFonts w:ascii="Times New Roman" w:eastAsia="Calibri" w:hAnsi="Times New Roman" w:cs="Times New Roman"/>
                <w:b/>
                <w:bCs/>
              </w:rPr>
              <w:t>Owner / Project Name</w:t>
            </w:r>
          </w:p>
        </w:tc>
        <w:tc>
          <w:tcPr>
            <w:tcW w:w="1617" w:type="dxa"/>
            <w:tcBorders>
              <w:bottom w:val="single" w:sz="4" w:space="0" w:color="auto"/>
            </w:tcBorders>
            <w:hideMark/>
          </w:tcPr>
          <w:p w14:paraId="69FD621A" w14:textId="77777777" w:rsidR="00322F44" w:rsidRPr="004627C7" w:rsidRDefault="00322F44" w:rsidP="005700C9">
            <w:pPr>
              <w:jc w:val="center"/>
              <w:rPr>
                <w:rFonts w:ascii="Times New Roman" w:eastAsia="Calibri" w:hAnsi="Times New Roman" w:cs="Times New Roman"/>
                <w:b/>
                <w:bCs/>
              </w:rPr>
            </w:pPr>
            <w:r w:rsidRPr="004627C7">
              <w:rPr>
                <w:rFonts w:ascii="Times New Roman" w:eastAsia="Calibri" w:hAnsi="Times New Roman" w:cs="Times New Roman"/>
                <w:b/>
                <w:bCs/>
              </w:rPr>
              <w:t>MW</w:t>
            </w:r>
            <w:r w:rsidRPr="004627C7">
              <w:rPr>
                <w:rFonts w:ascii="Times New Roman" w:eastAsia="Calibri" w:hAnsi="Times New Roman" w:cs="Times New Roman"/>
                <w:b/>
                <w:bCs/>
              </w:rPr>
              <w:br/>
              <w:t>(S/W)</w:t>
            </w:r>
          </w:p>
        </w:tc>
      </w:tr>
      <w:tr w:rsidR="004627C7" w:rsidRPr="004627C7" w14:paraId="79EF08F0" w14:textId="77777777" w:rsidTr="005700C9">
        <w:trPr>
          <w:trHeight w:val="229"/>
          <w:jc w:val="center"/>
        </w:trPr>
        <w:tc>
          <w:tcPr>
            <w:tcW w:w="1347" w:type="dxa"/>
            <w:tcBorders>
              <w:top w:val="single" w:sz="4" w:space="0" w:color="auto"/>
              <w:left w:val="nil"/>
              <w:bottom w:val="nil"/>
              <w:right w:val="nil"/>
            </w:tcBorders>
            <w:noWrap/>
            <w:hideMark/>
          </w:tcPr>
          <w:p w14:paraId="56205CAE"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521</w:t>
            </w:r>
          </w:p>
        </w:tc>
        <w:tc>
          <w:tcPr>
            <w:tcW w:w="5962" w:type="dxa"/>
            <w:tcBorders>
              <w:top w:val="single" w:sz="4" w:space="0" w:color="auto"/>
              <w:left w:val="nil"/>
              <w:bottom w:val="nil"/>
              <w:right w:val="nil"/>
            </w:tcBorders>
            <w:noWrap/>
            <w:hideMark/>
          </w:tcPr>
          <w:p w14:paraId="329057C7"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Bull Run Energy LLC / Bull Run II Wind</w:t>
            </w:r>
          </w:p>
        </w:tc>
        <w:tc>
          <w:tcPr>
            <w:tcW w:w="1617" w:type="dxa"/>
            <w:tcBorders>
              <w:top w:val="single" w:sz="4" w:space="0" w:color="auto"/>
              <w:left w:val="nil"/>
              <w:bottom w:val="nil"/>
              <w:right w:val="nil"/>
            </w:tcBorders>
            <w:noWrap/>
            <w:hideMark/>
          </w:tcPr>
          <w:p w14:paraId="66843B97"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449|449</w:t>
            </w:r>
          </w:p>
        </w:tc>
      </w:tr>
      <w:tr w:rsidR="004627C7" w:rsidRPr="004627C7" w14:paraId="45ECF1EE" w14:textId="77777777" w:rsidTr="005700C9">
        <w:trPr>
          <w:trHeight w:val="229"/>
          <w:jc w:val="center"/>
        </w:trPr>
        <w:tc>
          <w:tcPr>
            <w:tcW w:w="1347" w:type="dxa"/>
            <w:tcBorders>
              <w:top w:val="nil"/>
              <w:left w:val="nil"/>
              <w:bottom w:val="nil"/>
              <w:right w:val="nil"/>
            </w:tcBorders>
            <w:noWrap/>
            <w:hideMark/>
          </w:tcPr>
          <w:p w14:paraId="6236CD68"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571</w:t>
            </w:r>
          </w:p>
        </w:tc>
        <w:tc>
          <w:tcPr>
            <w:tcW w:w="5962" w:type="dxa"/>
            <w:tcBorders>
              <w:top w:val="nil"/>
              <w:left w:val="nil"/>
              <w:bottom w:val="nil"/>
              <w:right w:val="nil"/>
            </w:tcBorders>
            <w:noWrap/>
            <w:hideMark/>
          </w:tcPr>
          <w:p w14:paraId="6B72F01C"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Heritage Renewables, LLC / Heritage Wind</w:t>
            </w:r>
          </w:p>
        </w:tc>
        <w:tc>
          <w:tcPr>
            <w:tcW w:w="1617" w:type="dxa"/>
            <w:tcBorders>
              <w:top w:val="nil"/>
              <w:left w:val="nil"/>
              <w:bottom w:val="nil"/>
              <w:right w:val="nil"/>
            </w:tcBorders>
            <w:noWrap/>
            <w:hideMark/>
          </w:tcPr>
          <w:p w14:paraId="33726081"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200.1|200.1</w:t>
            </w:r>
          </w:p>
        </w:tc>
      </w:tr>
      <w:tr w:rsidR="004627C7" w:rsidRPr="004627C7" w14:paraId="3704ADF5" w14:textId="77777777" w:rsidTr="005700C9">
        <w:trPr>
          <w:trHeight w:val="229"/>
          <w:jc w:val="center"/>
        </w:trPr>
        <w:tc>
          <w:tcPr>
            <w:tcW w:w="1347" w:type="dxa"/>
            <w:tcBorders>
              <w:top w:val="nil"/>
              <w:left w:val="nil"/>
              <w:bottom w:val="nil"/>
              <w:right w:val="nil"/>
            </w:tcBorders>
            <w:noWrap/>
            <w:hideMark/>
          </w:tcPr>
          <w:p w14:paraId="2E0A12BA"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629</w:t>
            </w:r>
          </w:p>
        </w:tc>
        <w:tc>
          <w:tcPr>
            <w:tcW w:w="5962" w:type="dxa"/>
            <w:tcBorders>
              <w:top w:val="nil"/>
              <w:left w:val="nil"/>
              <w:bottom w:val="nil"/>
              <w:right w:val="nil"/>
            </w:tcBorders>
            <w:noWrap/>
            <w:hideMark/>
          </w:tcPr>
          <w:p w14:paraId="537D2630"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Silver Lake Solar, LLC / Silver Lake Solar</w:t>
            </w:r>
          </w:p>
        </w:tc>
        <w:tc>
          <w:tcPr>
            <w:tcW w:w="1617" w:type="dxa"/>
            <w:tcBorders>
              <w:top w:val="nil"/>
              <w:left w:val="nil"/>
              <w:bottom w:val="nil"/>
              <w:right w:val="nil"/>
            </w:tcBorders>
            <w:noWrap/>
            <w:hideMark/>
          </w:tcPr>
          <w:p w14:paraId="032ED742"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24.9|24.9</w:t>
            </w:r>
          </w:p>
        </w:tc>
      </w:tr>
      <w:tr w:rsidR="004627C7" w:rsidRPr="004627C7" w14:paraId="08352DB3" w14:textId="77777777" w:rsidTr="005700C9">
        <w:trPr>
          <w:trHeight w:val="229"/>
          <w:jc w:val="center"/>
        </w:trPr>
        <w:tc>
          <w:tcPr>
            <w:tcW w:w="1347" w:type="dxa"/>
            <w:tcBorders>
              <w:top w:val="nil"/>
              <w:left w:val="nil"/>
              <w:bottom w:val="nil"/>
              <w:right w:val="nil"/>
            </w:tcBorders>
            <w:noWrap/>
            <w:hideMark/>
          </w:tcPr>
          <w:p w14:paraId="49926593"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631</w:t>
            </w:r>
          </w:p>
        </w:tc>
        <w:tc>
          <w:tcPr>
            <w:tcW w:w="5962" w:type="dxa"/>
            <w:tcBorders>
              <w:top w:val="nil"/>
              <w:left w:val="nil"/>
              <w:bottom w:val="nil"/>
              <w:right w:val="nil"/>
            </w:tcBorders>
            <w:noWrap/>
            <w:hideMark/>
          </w:tcPr>
          <w:p w14:paraId="104F9385"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 xml:space="preserve">CHPE </w:t>
            </w:r>
            <w:proofErr w:type="gramStart"/>
            <w:r w:rsidRPr="004627C7">
              <w:rPr>
                <w:rFonts w:ascii="Times New Roman" w:eastAsia="Calibri" w:hAnsi="Times New Roman" w:cs="Times New Roman"/>
                <w:bCs/>
              </w:rPr>
              <w:t>LLC  /</w:t>
            </w:r>
            <w:proofErr w:type="gramEnd"/>
            <w:r w:rsidRPr="004627C7">
              <w:rPr>
                <w:rFonts w:ascii="Times New Roman" w:eastAsia="Calibri" w:hAnsi="Times New Roman" w:cs="Times New Roman"/>
                <w:bCs/>
              </w:rPr>
              <w:t xml:space="preserve"> NS Power Express</w:t>
            </w:r>
          </w:p>
        </w:tc>
        <w:tc>
          <w:tcPr>
            <w:tcW w:w="1617" w:type="dxa"/>
            <w:tcBorders>
              <w:top w:val="nil"/>
              <w:left w:val="nil"/>
              <w:bottom w:val="nil"/>
              <w:right w:val="nil"/>
            </w:tcBorders>
            <w:noWrap/>
            <w:hideMark/>
          </w:tcPr>
          <w:p w14:paraId="57DB03FF"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1000|1000</w:t>
            </w:r>
          </w:p>
        </w:tc>
      </w:tr>
      <w:tr w:rsidR="004627C7" w:rsidRPr="004627C7" w14:paraId="790172EC" w14:textId="77777777" w:rsidTr="005700C9">
        <w:trPr>
          <w:trHeight w:val="229"/>
          <w:jc w:val="center"/>
        </w:trPr>
        <w:tc>
          <w:tcPr>
            <w:tcW w:w="1347" w:type="dxa"/>
            <w:tcBorders>
              <w:top w:val="nil"/>
              <w:left w:val="nil"/>
              <w:bottom w:val="nil"/>
              <w:right w:val="nil"/>
            </w:tcBorders>
            <w:noWrap/>
            <w:hideMark/>
          </w:tcPr>
          <w:p w14:paraId="7B26DA41"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710</w:t>
            </w:r>
          </w:p>
        </w:tc>
        <w:tc>
          <w:tcPr>
            <w:tcW w:w="5962" w:type="dxa"/>
            <w:tcBorders>
              <w:top w:val="nil"/>
              <w:left w:val="nil"/>
              <w:bottom w:val="nil"/>
              <w:right w:val="nil"/>
            </w:tcBorders>
            <w:noWrap/>
            <w:hideMark/>
          </w:tcPr>
          <w:p w14:paraId="1C8FF297"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Horseshoe Solar Energy LLC/ Horseshoe Solar</w:t>
            </w:r>
          </w:p>
        </w:tc>
        <w:tc>
          <w:tcPr>
            <w:tcW w:w="1617" w:type="dxa"/>
            <w:tcBorders>
              <w:top w:val="nil"/>
              <w:left w:val="nil"/>
              <w:bottom w:val="nil"/>
              <w:right w:val="nil"/>
            </w:tcBorders>
            <w:noWrap/>
            <w:hideMark/>
          </w:tcPr>
          <w:p w14:paraId="595A51D0"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180|180</w:t>
            </w:r>
          </w:p>
        </w:tc>
      </w:tr>
      <w:tr w:rsidR="004627C7" w:rsidRPr="004627C7" w14:paraId="44967343" w14:textId="77777777" w:rsidTr="005700C9">
        <w:trPr>
          <w:trHeight w:val="229"/>
          <w:jc w:val="center"/>
        </w:trPr>
        <w:tc>
          <w:tcPr>
            <w:tcW w:w="1347" w:type="dxa"/>
            <w:tcBorders>
              <w:top w:val="nil"/>
              <w:left w:val="nil"/>
              <w:bottom w:val="nil"/>
              <w:right w:val="nil"/>
            </w:tcBorders>
            <w:noWrap/>
            <w:hideMark/>
          </w:tcPr>
          <w:p w14:paraId="47A2CA2F"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717</w:t>
            </w:r>
          </w:p>
        </w:tc>
        <w:tc>
          <w:tcPr>
            <w:tcW w:w="5962" w:type="dxa"/>
            <w:tcBorders>
              <w:top w:val="nil"/>
              <w:left w:val="nil"/>
              <w:bottom w:val="nil"/>
              <w:right w:val="nil"/>
            </w:tcBorders>
            <w:noWrap/>
            <w:hideMark/>
          </w:tcPr>
          <w:p w14:paraId="4B33500E"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EDF Renewables Development, Inc. / Morris Ridge Solar Energy Center</w:t>
            </w:r>
          </w:p>
        </w:tc>
        <w:tc>
          <w:tcPr>
            <w:tcW w:w="1617" w:type="dxa"/>
            <w:tcBorders>
              <w:top w:val="nil"/>
              <w:left w:val="nil"/>
              <w:bottom w:val="nil"/>
              <w:right w:val="nil"/>
            </w:tcBorders>
            <w:noWrap/>
            <w:hideMark/>
          </w:tcPr>
          <w:p w14:paraId="0A9300E8"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177|177</w:t>
            </w:r>
          </w:p>
        </w:tc>
      </w:tr>
      <w:tr w:rsidR="004627C7" w:rsidRPr="004627C7" w14:paraId="24E8A7F1" w14:textId="77777777" w:rsidTr="005700C9">
        <w:trPr>
          <w:trHeight w:val="229"/>
          <w:jc w:val="center"/>
        </w:trPr>
        <w:tc>
          <w:tcPr>
            <w:tcW w:w="1347" w:type="dxa"/>
            <w:tcBorders>
              <w:top w:val="nil"/>
              <w:left w:val="nil"/>
              <w:bottom w:val="nil"/>
              <w:right w:val="nil"/>
            </w:tcBorders>
            <w:noWrap/>
            <w:hideMark/>
          </w:tcPr>
          <w:p w14:paraId="5AD0A6E8"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758</w:t>
            </w:r>
          </w:p>
        </w:tc>
        <w:tc>
          <w:tcPr>
            <w:tcW w:w="5962" w:type="dxa"/>
            <w:tcBorders>
              <w:top w:val="nil"/>
              <w:left w:val="nil"/>
              <w:bottom w:val="nil"/>
              <w:right w:val="nil"/>
            </w:tcBorders>
            <w:noWrap/>
            <w:hideMark/>
          </w:tcPr>
          <w:p w14:paraId="119FFCC2" w14:textId="77777777" w:rsidR="00322F44" w:rsidRPr="004627C7" w:rsidRDefault="00322F44" w:rsidP="005700C9">
            <w:pPr>
              <w:spacing w:line="276" w:lineRule="auto"/>
              <w:rPr>
                <w:rFonts w:ascii="Times New Roman" w:eastAsia="Calibri" w:hAnsi="Times New Roman" w:cs="Times New Roman"/>
                <w:bCs/>
              </w:rPr>
            </w:pPr>
            <w:proofErr w:type="spellStart"/>
            <w:r w:rsidRPr="004627C7">
              <w:rPr>
                <w:rFonts w:ascii="Times New Roman" w:eastAsia="Calibri" w:hAnsi="Times New Roman" w:cs="Times New Roman"/>
                <w:bCs/>
              </w:rPr>
              <w:t>Sithe</w:t>
            </w:r>
            <w:proofErr w:type="spellEnd"/>
            <w:r w:rsidRPr="004627C7">
              <w:rPr>
                <w:rFonts w:ascii="Times New Roman" w:eastAsia="Calibri" w:hAnsi="Times New Roman" w:cs="Times New Roman"/>
                <w:bCs/>
              </w:rPr>
              <w:t xml:space="preserve">/Independence Power Partners, LP / </w:t>
            </w:r>
            <w:proofErr w:type="spellStart"/>
            <w:r w:rsidRPr="004627C7">
              <w:rPr>
                <w:rFonts w:ascii="Times New Roman" w:eastAsia="Calibri" w:hAnsi="Times New Roman" w:cs="Times New Roman"/>
                <w:bCs/>
              </w:rPr>
              <w:t>Sithe</w:t>
            </w:r>
            <w:proofErr w:type="spellEnd"/>
            <w:r w:rsidRPr="004627C7">
              <w:rPr>
                <w:rFonts w:ascii="Times New Roman" w:eastAsia="Calibri" w:hAnsi="Times New Roman" w:cs="Times New Roman"/>
                <w:bCs/>
              </w:rPr>
              <w:t xml:space="preserve"> Independence</w:t>
            </w:r>
          </w:p>
        </w:tc>
        <w:tc>
          <w:tcPr>
            <w:tcW w:w="1617" w:type="dxa"/>
            <w:tcBorders>
              <w:top w:val="nil"/>
              <w:left w:val="nil"/>
              <w:bottom w:val="nil"/>
              <w:right w:val="nil"/>
            </w:tcBorders>
            <w:noWrap/>
            <w:hideMark/>
          </w:tcPr>
          <w:p w14:paraId="41B05639"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9|27</w:t>
            </w:r>
          </w:p>
        </w:tc>
      </w:tr>
      <w:tr w:rsidR="004627C7" w:rsidRPr="004627C7" w14:paraId="7063E98F" w14:textId="77777777" w:rsidTr="005700C9">
        <w:trPr>
          <w:trHeight w:val="229"/>
          <w:jc w:val="center"/>
        </w:trPr>
        <w:tc>
          <w:tcPr>
            <w:tcW w:w="1347" w:type="dxa"/>
            <w:tcBorders>
              <w:top w:val="nil"/>
              <w:left w:val="nil"/>
              <w:bottom w:val="nil"/>
              <w:right w:val="nil"/>
            </w:tcBorders>
            <w:noWrap/>
            <w:hideMark/>
          </w:tcPr>
          <w:p w14:paraId="0C7F9D39"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766</w:t>
            </w:r>
          </w:p>
        </w:tc>
        <w:tc>
          <w:tcPr>
            <w:tcW w:w="5962" w:type="dxa"/>
            <w:tcBorders>
              <w:top w:val="nil"/>
              <w:left w:val="nil"/>
              <w:bottom w:val="nil"/>
              <w:right w:val="nil"/>
            </w:tcBorders>
            <w:noWrap/>
            <w:hideMark/>
          </w:tcPr>
          <w:p w14:paraId="16BF50ED"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Sunrise Wind LLC / Sunrise Wind</w:t>
            </w:r>
          </w:p>
        </w:tc>
        <w:tc>
          <w:tcPr>
            <w:tcW w:w="1617" w:type="dxa"/>
            <w:tcBorders>
              <w:top w:val="nil"/>
              <w:left w:val="nil"/>
              <w:bottom w:val="nil"/>
              <w:right w:val="nil"/>
            </w:tcBorders>
            <w:noWrap/>
            <w:hideMark/>
          </w:tcPr>
          <w:p w14:paraId="449056EF"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880|880</w:t>
            </w:r>
          </w:p>
        </w:tc>
      </w:tr>
      <w:tr w:rsidR="004627C7" w:rsidRPr="004627C7" w14:paraId="1AD893D9" w14:textId="77777777" w:rsidTr="005700C9">
        <w:trPr>
          <w:trHeight w:val="229"/>
          <w:jc w:val="center"/>
        </w:trPr>
        <w:tc>
          <w:tcPr>
            <w:tcW w:w="1347" w:type="dxa"/>
            <w:tcBorders>
              <w:top w:val="nil"/>
              <w:left w:val="nil"/>
              <w:bottom w:val="nil"/>
              <w:right w:val="nil"/>
            </w:tcBorders>
            <w:noWrap/>
            <w:hideMark/>
          </w:tcPr>
          <w:p w14:paraId="440411E1"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783</w:t>
            </w:r>
          </w:p>
        </w:tc>
        <w:tc>
          <w:tcPr>
            <w:tcW w:w="5962" w:type="dxa"/>
            <w:tcBorders>
              <w:top w:val="nil"/>
              <w:left w:val="nil"/>
              <w:bottom w:val="nil"/>
              <w:right w:val="nil"/>
            </w:tcBorders>
            <w:noWrap/>
            <w:hideMark/>
          </w:tcPr>
          <w:p w14:paraId="6B2EB330" w14:textId="77777777" w:rsidR="00322F44" w:rsidRPr="004627C7" w:rsidRDefault="00322F44" w:rsidP="005700C9">
            <w:pPr>
              <w:spacing w:line="276" w:lineRule="auto"/>
              <w:rPr>
                <w:rFonts w:ascii="Times New Roman" w:eastAsia="Calibri" w:hAnsi="Times New Roman" w:cs="Times New Roman"/>
                <w:bCs/>
              </w:rPr>
            </w:pPr>
            <w:proofErr w:type="spellStart"/>
            <w:r w:rsidRPr="004627C7">
              <w:rPr>
                <w:rFonts w:ascii="Times New Roman" w:eastAsia="Calibri" w:hAnsi="Times New Roman" w:cs="Times New Roman"/>
                <w:bCs/>
              </w:rPr>
              <w:t>ConnectGen</w:t>
            </w:r>
            <w:proofErr w:type="spellEnd"/>
            <w:r w:rsidRPr="004627C7">
              <w:rPr>
                <w:rFonts w:ascii="Times New Roman" w:eastAsia="Calibri" w:hAnsi="Times New Roman" w:cs="Times New Roman"/>
                <w:bCs/>
              </w:rPr>
              <w:t xml:space="preserve"> Chautauqua County LLC </w:t>
            </w:r>
            <w:proofErr w:type="gramStart"/>
            <w:r w:rsidRPr="004627C7">
              <w:rPr>
                <w:rFonts w:ascii="Times New Roman" w:eastAsia="Calibri" w:hAnsi="Times New Roman" w:cs="Times New Roman"/>
                <w:bCs/>
              </w:rPr>
              <w:t>/  South</w:t>
            </w:r>
            <w:proofErr w:type="gramEnd"/>
            <w:r w:rsidRPr="004627C7">
              <w:rPr>
                <w:rFonts w:ascii="Times New Roman" w:eastAsia="Calibri" w:hAnsi="Times New Roman" w:cs="Times New Roman"/>
                <w:bCs/>
              </w:rPr>
              <w:t xml:space="preserve"> Ripley Solar and BESS</w:t>
            </w:r>
          </w:p>
        </w:tc>
        <w:tc>
          <w:tcPr>
            <w:tcW w:w="1617" w:type="dxa"/>
            <w:tcBorders>
              <w:top w:val="nil"/>
              <w:left w:val="nil"/>
              <w:bottom w:val="nil"/>
              <w:right w:val="nil"/>
            </w:tcBorders>
            <w:noWrap/>
            <w:hideMark/>
          </w:tcPr>
          <w:p w14:paraId="799D1918"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270|270</w:t>
            </w:r>
          </w:p>
        </w:tc>
      </w:tr>
      <w:tr w:rsidR="004627C7" w:rsidRPr="004627C7" w14:paraId="0D5BE32B" w14:textId="77777777" w:rsidTr="005700C9">
        <w:trPr>
          <w:trHeight w:val="229"/>
          <w:jc w:val="center"/>
        </w:trPr>
        <w:tc>
          <w:tcPr>
            <w:tcW w:w="1347" w:type="dxa"/>
            <w:tcBorders>
              <w:top w:val="nil"/>
              <w:left w:val="nil"/>
              <w:bottom w:val="nil"/>
              <w:right w:val="nil"/>
            </w:tcBorders>
            <w:noWrap/>
            <w:hideMark/>
          </w:tcPr>
          <w:p w14:paraId="01ACB57E"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787</w:t>
            </w:r>
          </w:p>
        </w:tc>
        <w:tc>
          <w:tcPr>
            <w:tcW w:w="5962" w:type="dxa"/>
            <w:tcBorders>
              <w:top w:val="nil"/>
              <w:left w:val="nil"/>
              <w:bottom w:val="nil"/>
              <w:right w:val="nil"/>
            </w:tcBorders>
            <w:noWrap/>
            <w:hideMark/>
          </w:tcPr>
          <w:p w14:paraId="59BB4517"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Levy Grid, LLC / Levy Grid, LLC</w:t>
            </w:r>
          </w:p>
        </w:tc>
        <w:tc>
          <w:tcPr>
            <w:tcW w:w="1617" w:type="dxa"/>
            <w:tcBorders>
              <w:top w:val="nil"/>
              <w:left w:val="nil"/>
              <w:bottom w:val="nil"/>
              <w:right w:val="nil"/>
            </w:tcBorders>
            <w:noWrap/>
            <w:hideMark/>
          </w:tcPr>
          <w:p w14:paraId="0056648B"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150|150</w:t>
            </w:r>
          </w:p>
        </w:tc>
      </w:tr>
      <w:tr w:rsidR="004627C7" w:rsidRPr="004627C7" w14:paraId="6702A7F5" w14:textId="77777777" w:rsidTr="005700C9">
        <w:trPr>
          <w:trHeight w:val="229"/>
          <w:jc w:val="center"/>
        </w:trPr>
        <w:tc>
          <w:tcPr>
            <w:tcW w:w="1347" w:type="dxa"/>
            <w:tcBorders>
              <w:top w:val="nil"/>
              <w:left w:val="nil"/>
              <w:bottom w:val="nil"/>
              <w:right w:val="nil"/>
            </w:tcBorders>
            <w:noWrap/>
            <w:hideMark/>
          </w:tcPr>
          <w:p w14:paraId="1926A4B8"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801</w:t>
            </w:r>
          </w:p>
        </w:tc>
        <w:tc>
          <w:tcPr>
            <w:tcW w:w="5962" w:type="dxa"/>
            <w:tcBorders>
              <w:top w:val="nil"/>
              <w:left w:val="nil"/>
              <w:bottom w:val="nil"/>
              <w:right w:val="nil"/>
            </w:tcBorders>
            <w:noWrap/>
            <w:hideMark/>
          </w:tcPr>
          <w:p w14:paraId="7A89DC3F" w14:textId="77777777" w:rsidR="00322F44" w:rsidRPr="004627C7" w:rsidRDefault="00322F44" w:rsidP="005700C9">
            <w:pPr>
              <w:spacing w:line="276" w:lineRule="auto"/>
              <w:rPr>
                <w:rFonts w:ascii="Times New Roman" w:eastAsia="Calibri" w:hAnsi="Times New Roman" w:cs="Times New Roman"/>
                <w:bCs/>
              </w:rPr>
            </w:pPr>
            <w:proofErr w:type="spellStart"/>
            <w:r w:rsidRPr="004627C7">
              <w:rPr>
                <w:rFonts w:ascii="Times New Roman" w:eastAsia="Calibri" w:hAnsi="Times New Roman" w:cs="Times New Roman"/>
                <w:bCs/>
              </w:rPr>
              <w:t>Prattsburgh</w:t>
            </w:r>
            <w:proofErr w:type="spellEnd"/>
            <w:r w:rsidRPr="004627C7">
              <w:rPr>
                <w:rFonts w:ascii="Times New Roman" w:eastAsia="Calibri" w:hAnsi="Times New Roman" w:cs="Times New Roman"/>
                <w:bCs/>
              </w:rPr>
              <w:t xml:space="preserve"> Wind, LLC / </w:t>
            </w:r>
            <w:proofErr w:type="spellStart"/>
            <w:r w:rsidRPr="004627C7">
              <w:rPr>
                <w:rFonts w:ascii="Times New Roman" w:eastAsia="Calibri" w:hAnsi="Times New Roman" w:cs="Times New Roman"/>
                <w:bCs/>
              </w:rPr>
              <w:t>Prattsburgh</w:t>
            </w:r>
            <w:proofErr w:type="spellEnd"/>
            <w:r w:rsidRPr="004627C7">
              <w:rPr>
                <w:rFonts w:ascii="Times New Roman" w:eastAsia="Calibri" w:hAnsi="Times New Roman" w:cs="Times New Roman"/>
                <w:bCs/>
              </w:rPr>
              <w:t xml:space="preserve"> Wind Farm</w:t>
            </w:r>
          </w:p>
        </w:tc>
        <w:tc>
          <w:tcPr>
            <w:tcW w:w="1617" w:type="dxa"/>
            <w:tcBorders>
              <w:top w:val="nil"/>
              <w:left w:val="nil"/>
              <w:bottom w:val="nil"/>
              <w:right w:val="nil"/>
            </w:tcBorders>
            <w:noWrap/>
            <w:hideMark/>
          </w:tcPr>
          <w:p w14:paraId="15D35222"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147|147</w:t>
            </w:r>
          </w:p>
        </w:tc>
      </w:tr>
      <w:tr w:rsidR="004627C7" w:rsidRPr="004627C7" w14:paraId="0C4763F2" w14:textId="77777777" w:rsidTr="005700C9">
        <w:trPr>
          <w:trHeight w:val="229"/>
          <w:jc w:val="center"/>
        </w:trPr>
        <w:tc>
          <w:tcPr>
            <w:tcW w:w="1347" w:type="dxa"/>
            <w:tcBorders>
              <w:top w:val="nil"/>
              <w:left w:val="nil"/>
              <w:bottom w:val="nil"/>
              <w:right w:val="nil"/>
            </w:tcBorders>
            <w:noWrap/>
            <w:hideMark/>
          </w:tcPr>
          <w:p w14:paraId="6BF25863"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805</w:t>
            </w:r>
          </w:p>
        </w:tc>
        <w:tc>
          <w:tcPr>
            <w:tcW w:w="5962" w:type="dxa"/>
            <w:tcBorders>
              <w:top w:val="nil"/>
              <w:left w:val="nil"/>
              <w:bottom w:val="nil"/>
              <w:right w:val="nil"/>
            </w:tcBorders>
            <w:noWrap/>
            <w:hideMark/>
          </w:tcPr>
          <w:p w14:paraId="4B35CDDE"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Oxbow Hill Solar, LLC / Oxbow Hill Solar</w:t>
            </w:r>
          </w:p>
        </w:tc>
        <w:tc>
          <w:tcPr>
            <w:tcW w:w="1617" w:type="dxa"/>
            <w:tcBorders>
              <w:top w:val="nil"/>
              <w:left w:val="nil"/>
              <w:bottom w:val="nil"/>
              <w:right w:val="nil"/>
            </w:tcBorders>
            <w:noWrap/>
            <w:hideMark/>
          </w:tcPr>
          <w:p w14:paraId="6A2799E2"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140|140</w:t>
            </w:r>
          </w:p>
        </w:tc>
      </w:tr>
      <w:tr w:rsidR="004627C7" w:rsidRPr="004627C7" w14:paraId="78015CCE" w14:textId="77777777" w:rsidTr="005700C9">
        <w:trPr>
          <w:trHeight w:val="229"/>
          <w:jc w:val="center"/>
        </w:trPr>
        <w:tc>
          <w:tcPr>
            <w:tcW w:w="1347" w:type="dxa"/>
            <w:tcBorders>
              <w:top w:val="nil"/>
              <w:left w:val="nil"/>
              <w:bottom w:val="nil"/>
              <w:right w:val="nil"/>
            </w:tcBorders>
            <w:noWrap/>
            <w:hideMark/>
          </w:tcPr>
          <w:p w14:paraId="29D20385"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811</w:t>
            </w:r>
          </w:p>
        </w:tc>
        <w:tc>
          <w:tcPr>
            <w:tcW w:w="5962" w:type="dxa"/>
            <w:tcBorders>
              <w:top w:val="nil"/>
              <w:left w:val="nil"/>
              <w:bottom w:val="nil"/>
              <w:right w:val="nil"/>
            </w:tcBorders>
            <w:noWrap/>
            <w:hideMark/>
          </w:tcPr>
          <w:p w14:paraId="78DDDF87"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Hecate Energy Cider Solar LLC / Cider Solar</w:t>
            </w:r>
          </w:p>
        </w:tc>
        <w:tc>
          <w:tcPr>
            <w:tcW w:w="1617" w:type="dxa"/>
            <w:tcBorders>
              <w:top w:val="nil"/>
              <w:left w:val="nil"/>
              <w:bottom w:val="nil"/>
              <w:right w:val="nil"/>
            </w:tcBorders>
            <w:noWrap/>
            <w:hideMark/>
          </w:tcPr>
          <w:p w14:paraId="72D5328E"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500|500</w:t>
            </w:r>
          </w:p>
        </w:tc>
      </w:tr>
      <w:tr w:rsidR="004627C7" w:rsidRPr="004627C7" w14:paraId="6E31A562" w14:textId="77777777" w:rsidTr="005700C9">
        <w:trPr>
          <w:trHeight w:val="229"/>
          <w:jc w:val="center"/>
        </w:trPr>
        <w:tc>
          <w:tcPr>
            <w:tcW w:w="1347" w:type="dxa"/>
            <w:tcBorders>
              <w:top w:val="nil"/>
              <w:left w:val="nil"/>
              <w:bottom w:val="nil"/>
              <w:right w:val="nil"/>
            </w:tcBorders>
            <w:noWrap/>
            <w:hideMark/>
          </w:tcPr>
          <w:p w14:paraId="67524857"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815</w:t>
            </w:r>
          </w:p>
        </w:tc>
        <w:tc>
          <w:tcPr>
            <w:tcW w:w="5962" w:type="dxa"/>
            <w:tcBorders>
              <w:top w:val="nil"/>
              <w:left w:val="nil"/>
              <w:bottom w:val="nil"/>
              <w:right w:val="nil"/>
            </w:tcBorders>
            <w:noWrap/>
            <w:hideMark/>
          </w:tcPr>
          <w:p w14:paraId="5AAE1509"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Bayonne Energy Center / Bayonne Energy Center III</w:t>
            </w:r>
          </w:p>
        </w:tc>
        <w:tc>
          <w:tcPr>
            <w:tcW w:w="1617" w:type="dxa"/>
            <w:tcBorders>
              <w:top w:val="nil"/>
              <w:left w:val="nil"/>
              <w:bottom w:val="nil"/>
              <w:right w:val="nil"/>
            </w:tcBorders>
            <w:noWrap/>
            <w:hideMark/>
          </w:tcPr>
          <w:p w14:paraId="6369D588"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49.8|49.8</w:t>
            </w:r>
          </w:p>
        </w:tc>
      </w:tr>
      <w:tr w:rsidR="004627C7" w:rsidRPr="004627C7" w14:paraId="44B8E59D" w14:textId="77777777" w:rsidTr="005700C9">
        <w:trPr>
          <w:trHeight w:val="229"/>
          <w:jc w:val="center"/>
        </w:trPr>
        <w:tc>
          <w:tcPr>
            <w:tcW w:w="1347" w:type="dxa"/>
            <w:tcBorders>
              <w:top w:val="nil"/>
              <w:left w:val="nil"/>
              <w:bottom w:val="nil"/>
              <w:right w:val="nil"/>
            </w:tcBorders>
            <w:noWrap/>
            <w:hideMark/>
          </w:tcPr>
          <w:p w14:paraId="01A29EC9"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835</w:t>
            </w:r>
          </w:p>
        </w:tc>
        <w:tc>
          <w:tcPr>
            <w:tcW w:w="5962" w:type="dxa"/>
            <w:tcBorders>
              <w:top w:val="nil"/>
              <w:left w:val="nil"/>
              <w:bottom w:val="nil"/>
              <w:right w:val="nil"/>
            </w:tcBorders>
            <w:noWrap/>
            <w:hideMark/>
          </w:tcPr>
          <w:p w14:paraId="56B23400"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 xml:space="preserve">Astoria Generating Company, LP / </w:t>
            </w:r>
            <w:proofErr w:type="spellStart"/>
            <w:r w:rsidRPr="004627C7">
              <w:rPr>
                <w:rFonts w:ascii="Times New Roman" w:eastAsia="Calibri" w:hAnsi="Times New Roman" w:cs="Times New Roman"/>
                <w:bCs/>
              </w:rPr>
              <w:t>Luyster</w:t>
            </w:r>
            <w:proofErr w:type="spellEnd"/>
            <w:r w:rsidRPr="004627C7">
              <w:rPr>
                <w:rFonts w:ascii="Times New Roman" w:eastAsia="Calibri" w:hAnsi="Times New Roman" w:cs="Times New Roman"/>
                <w:bCs/>
              </w:rPr>
              <w:t xml:space="preserve"> Creek Energy Storage 1</w:t>
            </w:r>
          </w:p>
        </w:tc>
        <w:tc>
          <w:tcPr>
            <w:tcW w:w="1617" w:type="dxa"/>
            <w:tcBorders>
              <w:top w:val="nil"/>
              <w:left w:val="nil"/>
              <w:bottom w:val="nil"/>
              <w:right w:val="nil"/>
            </w:tcBorders>
            <w:noWrap/>
            <w:hideMark/>
          </w:tcPr>
          <w:p w14:paraId="0D81B993"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56|56</w:t>
            </w:r>
          </w:p>
        </w:tc>
      </w:tr>
      <w:tr w:rsidR="004627C7" w:rsidRPr="004627C7" w14:paraId="1C606AD7" w14:textId="77777777" w:rsidTr="005700C9">
        <w:trPr>
          <w:trHeight w:val="229"/>
          <w:jc w:val="center"/>
        </w:trPr>
        <w:tc>
          <w:tcPr>
            <w:tcW w:w="1347" w:type="dxa"/>
            <w:tcBorders>
              <w:top w:val="nil"/>
              <w:left w:val="nil"/>
              <w:bottom w:val="nil"/>
              <w:right w:val="nil"/>
            </w:tcBorders>
            <w:noWrap/>
            <w:hideMark/>
          </w:tcPr>
          <w:p w14:paraId="044D8E22"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840</w:t>
            </w:r>
          </w:p>
        </w:tc>
        <w:tc>
          <w:tcPr>
            <w:tcW w:w="5962" w:type="dxa"/>
            <w:tcBorders>
              <w:top w:val="nil"/>
              <w:left w:val="nil"/>
              <w:bottom w:val="nil"/>
              <w:right w:val="nil"/>
            </w:tcBorders>
            <w:noWrap/>
            <w:hideMark/>
          </w:tcPr>
          <w:p w14:paraId="2E525684"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 xml:space="preserve">Hecate Energy LLC / </w:t>
            </w:r>
            <w:proofErr w:type="spellStart"/>
            <w:r w:rsidRPr="004627C7">
              <w:rPr>
                <w:rFonts w:ascii="Times New Roman" w:eastAsia="Calibri" w:hAnsi="Times New Roman" w:cs="Times New Roman"/>
                <w:bCs/>
              </w:rPr>
              <w:t>Swiftsure</w:t>
            </w:r>
            <w:proofErr w:type="spellEnd"/>
            <w:r w:rsidRPr="004627C7">
              <w:rPr>
                <w:rFonts w:ascii="Times New Roman" w:eastAsia="Calibri" w:hAnsi="Times New Roman" w:cs="Times New Roman"/>
                <w:bCs/>
              </w:rPr>
              <w:t xml:space="preserve"> Energy Storage</w:t>
            </w:r>
          </w:p>
        </w:tc>
        <w:tc>
          <w:tcPr>
            <w:tcW w:w="1617" w:type="dxa"/>
            <w:tcBorders>
              <w:top w:val="nil"/>
              <w:left w:val="nil"/>
              <w:bottom w:val="nil"/>
              <w:right w:val="nil"/>
            </w:tcBorders>
            <w:noWrap/>
            <w:hideMark/>
          </w:tcPr>
          <w:p w14:paraId="27CDC738"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650|650</w:t>
            </w:r>
          </w:p>
        </w:tc>
      </w:tr>
      <w:tr w:rsidR="004627C7" w:rsidRPr="004627C7" w14:paraId="4B417EA0" w14:textId="77777777" w:rsidTr="005700C9">
        <w:trPr>
          <w:trHeight w:val="229"/>
          <w:jc w:val="center"/>
        </w:trPr>
        <w:tc>
          <w:tcPr>
            <w:tcW w:w="1347" w:type="dxa"/>
            <w:tcBorders>
              <w:top w:val="nil"/>
              <w:left w:val="nil"/>
              <w:bottom w:val="nil"/>
              <w:right w:val="nil"/>
            </w:tcBorders>
            <w:noWrap/>
            <w:hideMark/>
          </w:tcPr>
          <w:p w14:paraId="39EF7620"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864</w:t>
            </w:r>
          </w:p>
        </w:tc>
        <w:tc>
          <w:tcPr>
            <w:tcW w:w="5962" w:type="dxa"/>
            <w:tcBorders>
              <w:top w:val="nil"/>
              <w:left w:val="nil"/>
              <w:bottom w:val="nil"/>
              <w:right w:val="nil"/>
            </w:tcBorders>
            <w:noWrap/>
            <w:hideMark/>
          </w:tcPr>
          <w:p w14:paraId="3293700F"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Greens Corners Solar LLC / NY38 Solar</w:t>
            </w:r>
          </w:p>
        </w:tc>
        <w:tc>
          <w:tcPr>
            <w:tcW w:w="1617" w:type="dxa"/>
            <w:tcBorders>
              <w:top w:val="nil"/>
              <w:left w:val="nil"/>
              <w:bottom w:val="nil"/>
              <w:right w:val="nil"/>
            </w:tcBorders>
            <w:noWrap/>
            <w:hideMark/>
          </w:tcPr>
          <w:p w14:paraId="5D3EBF65"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120|120</w:t>
            </w:r>
          </w:p>
        </w:tc>
      </w:tr>
      <w:tr w:rsidR="004627C7" w:rsidRPr="004627C7" w14:paraId="11E026DE" w14:textId="77777777" w:rsidTr="005700C9">
        <w:trPr>
          <w:trHeight w:val="229"/>
          <w:jc w:val="center"/>
        </w:trPr>
        <w:tc>
          <w:tcPr>
            <w:tcW w:w="1347" w:type="dxa"/>
            <w:tcBorders>
              <w:top w:val="nil"/>
              <w:left w:val="nil"/>
              <w:bottom w:val="nil"/>
              <w:right w:val="nil"/>
            </w:tcBorders>
            <w:noWrap/>
            <w:hideMark/>
          </w:tcPr>
          <w:p w14:paraId="2AA3A069"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883</w:t>
            </w:r>
          </w:p>
        </w:tc>
        <w:tc>
          <w:tcPr>
            <w:tcW w:w="5962" w:type="dxa"/>
            <w:tcBorders>
              <w:top w:val="nil"/>
              <w:left w:val="nil"/>
              <w:bottom w:val="nil"/>
              <w:right w:val="nil"/>
            </w:tcBorders>
            <w:noWrap/>
            <w:hideMark/>
          </w:tcPr>
          <w:p w14:paraId="624D9F47"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Garnet Energy Center, LLC / Garnet Energy Center</w:t>
            </w:r>
          </w:p>
        </w:tc>
        <w:tc>
          <w:tcPr>
            <w:tcW w:w="1617" w:type="dxa"/>
            <w:tcBorders>
              <w:top w:val="nil"/>
              <w:left w:val="nil"/>
              <w:bottom w:val="nil"/>
              <w:right w:val="nil"/>
            </w:tcBorders>
            <w:noWrap/>
            <w:hideMark/>
          </w:tcPr>
          <w:p w14:paraId="56E45D67"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200|200</w:t>
            </w:r>
          </w:p>
        </w:tc>
      </w:tr>
      <w:tr w:rsidR="004627C7" w:rsidRPr="004627C7" w14:paraId="17A31F0F" w14:textId="77777777" w:rsidTr="005700C9">
        <w:trPr>
          <w:trHeight w:val="229"/>
          <w:jc w:val="center"/>
        </w:trPr>
        <w:tc>
          <w:tcPr>
            <w:tcW w:w="1347" w:type="dxa"/>
            <w:tcBorders>
              <w:top w:val="nil"/>
              <w:left w:val="nil"/>
              <w:bottom w:val="nil"/>
              <w:right w:val="nil"/>
            </w:tcBorders>
            <w:noWrap/>
            <w:hideMark/>
          </w:tcPr>
          <w:p w14:paraId="5F3FBC15"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887</w:t>
            </w:r>
          </w:p>
        </w:tc>
        <w:tc>
          <w:tcPr>
            <w:tcW w:w="5962" w:type="dxa"/>
            <w:tcBorders>
              <w:top w:val="nil"/>
              <w:left w:val="nil"/>
              <w:bottom w:val="nil"/>
              <w:right w:val="nil"/>
            </w:tcBorders>
            <w:noWrap/>
            <w:hideMark/>
          </w:tcPr>
          <w:p w14:paraId="2B1F5CA1"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CHPE LLC / CH Uprate</w:t>
            </w:r>
          </w:p>
        </w:tc>
        <w:tc>
          <w:tcPr>
            <w:tcW w:w="1617" w:type="dxa"/>
            <w:tcBorders>
              <w:top w:val="nil"/>
              <w:left w:val="nil"/>
              <w:bottom w:val="nil"/>
              <w:right w:val="nil"/>
            </w:tcBorders>
            <w:noWrap/>
            <w:hideMark/>
          </w:tcPr>
          <w:p w14:paraId="6D314EA6"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250|250</w:t>
            </w:r>
          </w:p>
        </w:tc>
      </w:tr>
      <w:tr w:rsidR="004627C7" w:rsidRPr="004627C7" w14:paraId="44B36ABE" w14:textId="77777777" w:rsidTr="005700C9">
        <w:trPr>
          <w:trHeight w:val="229"/>
          <w:jc w:val="center"/>
        </w:trPr>
        <w:tc>
          <w:tcPr>
            <w:tcW w:w="1347" w:type="dxa"/>
            <w:tcBorders>
              <w:top w:val="nil"/>
              <w:left w:val="nil"/>
              <w:bottom w:val="nil"/>
              <w:right w:val="nil"/>
            </w:tcBorders>
            <w:noWrap/>
            <w:hideMark/>
          </w:tcPr>
          <w:p w14:paraId="67EB3386"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907</w:t>
            </w:r>
          </w:p>
        </w:tc>
        <w:tc>
          <w:tcPr>
            <w:tcW w:w="5962" w:type="dxa"/>
            <w:tcBorders>
              <w:top w:val="nil"/>
              <w:left w:val="nil"/>
              <w:bottom w:val="nil"/>
              <w:right w:val="nil"/>
            </w:tcBorders>
            <w:noWrap/>
            <w:hideMark/>
          </w:tcPr>
          <w:p w14:paraId="45249AE8"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Harlem River ESS, LLC / Harlem River Yard</w:t>
            </w:r>
          </w:p>
        </w:tc>
        <w:tc>
          <w:tcPr>
            <w:tcW w:w="1617" w:type="dxa"/>
            <w:tcBorders>
              <w:top w:val="nil"/>
              <w:left w:val="nil"/>
              <w:bottom w:val="nil"/>
              <w:right w:val="nil"/>
            </w:tcBorders>
            <w:noWrap/>
            <w:hideMark/>
          </w:tcPr>
          <w:p w14:paraId="2857A075"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100|100</w:t>
            </w:r>
          </w:p>
        </w:tc>
      </w:tr>
      <w:tr w:rsidR="004627C7" w:rsidRPr="004627C7" w14:paraId="7F6A1F4E" w14:textId="77777777" w:rsidTr="005700C9">
        <w:trPr>
          <w:trHeight w:val="229"/>
          <w:jc w:val="center"/>
        </w:trPr>
        <w:tc>
          <w:tcPr>
            <w:tcW w:w="1347" w:type="dxa"/>
            <w:tcBorders>
              <w:top w:val="nil"/>
              <w:left w:val="nil"/>
              <w:bottom w:val="nil"/>
              <w:right w:val="nil"/>
            </w:tcBorders>
            <w:noWrap/>
            <w:hideMark/>
          </w:tcPr>
          <w:p w14:paraId="3212C461"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929</w:t>
            </w:r>
          </w:p>
        </w:tc>
        <w:tc>
          <w:tcPr>
            <w:tcW w:w="5962" w:type="dxa"/>
            <w:tcBorders>
              <w:top w:val="nil"/>
              <w:left w:val="nil"/>
              <w:bottom w:val="nil"/>
              <w:right w:val="nil"/>
            </w:tcBorders>
            <w:noWrap/>
            <w:hideMark/>
          </w:tcPr>
          <w:p w14:paraId="15049069"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EDF Renewables Development, Inc. / Morris Ridge Battery Storage</w:t>
            </w:r>
          </w:p>
        </w:tc>
        <w:tc>
          <w:tcPr>
            <w:tcW w:w="1617" w:type="dxa"/>
            <w:tcBorders>
              <w:top w:val="nil"/>
              <w:left w:val="nil"/>
              <w:bottom w:val="nil"/>
              <w:right w:val="nil"/>
            </w:tcBorders>
            <w:noWrap/>
            <w:hideMark/>
          </w:tcPr>
          <w:p w14:paraId="6B24D772"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83|83</w:t>
            </w:r>
          </w:p>
        </w:tc>
      </w:tr>
      <w:tr w:rsidR="004627C7" w:rsidRPr="004627C7" w14:paraId="0579A559" w14:textId="77777777" w:rsidTr="005700C9">
        <w:trPr>
          <w:trHeight w:val="229"/>
          <w:jc w:val="center"/>
        </w:trPr>
        <w:tc>
          <w:tcPr>
            <w:tcW w:w="1347" w:type="dxa"/>
            <w:tcBorders>
              <w:top w:val="nil"/>
              <w:left w:val="nil"/>
              <w:bottom w:val="nil"/>
              <w:right w:val="nil"/>
            </w:tcBorders>
            <w:noWrap/>
            <w:hideMark/>
          </w:tcPr>
          <w:p w14:paraId="253FECF2"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931</w:t>
            </w:r>
          </w:p>
        </w:tc>
        <w:tc>
          <w:tcPr>
            <w:tcW w:w="5962" w:type="dxa"/>
            <w:tcBorders>
              <w:top w:val="nil"/>
              <w:left w:val="nil"/>
              <w:bottom w:val="nil"/>
              <w:right w:val="nil"/>
            </w:tcBorders>
            <w:noWrap/>
            <w:hideMark/>
          </w:tcPr>
          <w:p w14:paraId="2071D243"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East River ESS, LLC / Astoria Energy Storage</w:t>
            </w:r>
          </w:p>
        </w:tc>
        <w:tc>
          <w:tcPr>
            <w:tcW w:w="1617" w:type="dxa"/>
            <w:tcBorders>
              <w:top w:val="nil"/>
              <w:left w:val="nil"/>
              <w:bottom w:val="nil"/>
              <w:right w:val="nil"/>
            </w:tcBorders>
            <w:noWrap/>
            <w:hideMark/>
          </w:tcPr>
          <w:p w14:paraId="499C1FB8"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100|100</w:t>
            </w:r>
          </w:p>
        </w:tc>
      </w:tr>
      <w:tr w:rsidR="004627C7" w:rsidRPr="004627C7" w14:paraId="31080CA6" w14:textId="77777777" w:rsidTr="005700C9">
        <w:trPr>
          <w:trHeight w:val="287"/>
          <w:jc w:val="center"/>
        </w:trPr>
        <w:tc>
          <w:tcPr>
            <w:tcW w:w="1347" w:type="dxa"/>
            <w:tcBorders>
              <w:top w:val="nil"/>
              <w:left w:val="nil"/>
              <w:bottom w:val="nil"/>
              <w:right w:val="nil"/>
            </w:tcBorders>
            <w:noWrap/>
            <w:hideMark/>
          </w:tcPr>
          <w:p w14:paraId="26C8F018"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956</w:t>
            </w:r>
          </w:p>
        </w:tc>
        <w:tc>
          <w:tcPr>
            <w:tcW w:w="5962" w:type="dxa"/>
            <w:tcBorders>
              <w:top w:val="nil"/>
              <w:left w:val="nil"/>
              <w:bottom w:val="nil"/>
              <w:right w:val="nil"/>
            </w:tcBorders>
            <w:noWrap/>
            <w:hideMark/>
          </w:tcPr>
          <w:p w14:paraId="05AF9B5E" w14:textId="77777777" w:rsidR="00322F44" w:rsidRPr="004627C7" w:rsidRDefault="00322F44" w:rsidP="005700C9">
            <w:pPr>
              <w:spacing w:line="276" w:lineRule="auto"/>
              <w:rPr>
                <w:rFonts w:ascii="Times New Roman" w:eastAsia="Calibri" w:hAnsi="Times New Roman" w:cs="Times New Roman"/>
                <w:b/>
              </w:rPr>
            </w:pPr>
            <w:r w:rsidRPr="004627C7">
              <w:rPr>
                <w:rFonts w:ascii="Times New Roman" w:eastAsia="Calibri" w:hAnsi="Times New Roman" w:cs="Times New Roman"/>
                <w:bCs/>
              </w:rPr>
              <w:t>Holtsville 138 kV Energy Storage</w:t>
            </w:r>
          </w:p>
        </w:tc>
        <w:tc>
          <w:tcPr>
            <w:tcW w:w="1617" w:type="dxa"/>
            <w:tcBorders>
              <w:top w:val="nil"/>
              <w:left w:val="nil"/>
              <w:bottom w:val="nil"/>
              <w:right w:val="nil"/>
            </w:tcBorders>
            <w:noWrap/>
            <w:hideMark/>
          </w:tcPr>
          <w:p w14:paraId="3CE82609"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Cs/>
              </w:rPr>
              <w:t>110|110</w:t>
            </w:r>
          </w:p>
        </w:tc>
      </w:tr>
      <w:tr w:rsidR="004627C7" w:rsidRPr="004627C7" w14:paraId="2E910989" w14:textId="77777777" w:rsidTr="005700C9">
        <w:trPr>
          <w:trHeight w:val="214"/>
          <w:jc w:val="center"/>
        </w:trPr>
        <w:tc>
          <w:tcPr>
            <w:tcW w:w="1347" w:type="dxa"/>
            <w:tcBorders>
              <w:top w:val="nil"/>
              <w:left w:val="nil"/>
              <w:bottom w:val="nil"/>
              <w:right w:val="nil"/>
            </w:tcBorders>
            <w:noWrap/>
            <w:hideMark/>
          </w:tcPr>
          <w:p w14:paraId="1CDA0CEE"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959</w:t>
            </w:r>
          </w:p>
        </w:tc>
        <w:tc>
          <w:tcPr>
            <w:tcW w:w="5962" w:type="dxa"/>
            <w:tcBorders>
              <w:top w:val="nil"/>
              <w:left w:val="nil"/>
              <w:bottom w:val="nil"/>
              <w:right w:val="nil"/>
            </w:tcBorders>
            <w:noWrap/>
            <w:hideMark/>
          </w:tcPr>
          <w:p w14:paraId="742ECB04"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Empire Offshore Wind LLC / EI Oceanside 2</w:t>
            </w:r>
          </w:p>
        </w:tc>
        <w:tc>
          <w:tcPr>
            <w:tcW w:w="1617" w:type="dxa"/>
            <w:tcBorders>
              <w:top w:val="nil"/>
              <w:left w:val="nil"/>
              <w:bottom w:val="nil"/>
              <w:right w:val="nil"/>
            </w:tcBorders>
            <w:noWrap/>
            <w:hideMark/>
          </w:tcPr>
          <w:p w14:paraId="422F6060"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1260|1260</w:t>
            </w:r>
          </w:p>
        </w:tc>
      </w:tr>
      <w:tr w:rsidR="003F2E96" w:rsidRPr="004627C7" w14:paraId="4E617F3D" w14:textId="77777777" w:rsidTr="005700C9">
        <w:trPr>
          <w:trHeight w:val="214"/>
          <w:jc w:val="center"/>
        </w:trPr>
        <w:tc>
          <w:tcPr>
            <w:tcW w:w="1347" w:type="dxa"/>
            <w:tcBorders>
              <w:top w:val="nil"/>
              <w:left w:val="nil"/>
              <w:bottom w:val="nil"/>
              <w:right w:val="nil"/>
            </w:tcBorders>
            <w:noWrap/>
          </w:tcPr>
          <w:p w14:paraId="71533E5E" w14:textId="593A981E" w:rsidR="003F2E96" w:rsidRPr="003F2E96" w:rsidRDefault="003F2E96" w:rsidP="003F2E96">
            <w:pPr>
              <w:spacing w:line="276" w:lineRule="auto"/>
              <w:jc w:val="center"/>
              <w:rPr>
                <w:rFonts w:ascii="Times New Roman" w:eastAsia="Calibri" w:hAnsi="Times New Roman" w:cs="Times New Roman"/>
                <w:b/>
                <w:bCs/>
              </w:rPr>
            </w:pPr>
            <w:r w:rsidRPr="003F2E96">
              <w:rPr>
                <w:rFonts w:ascii="Times New Roman" w:hAnsi="Times New Roman" w:cs="Times New Roman"/>
                <w:b/>
                <w:bCs/>
              </w:rPr>
              <w:t>965</w:t>
            </w:r>
          </w:p>
        </w:tc>
        <w:tc>
          <w:tcPr>
            <w:tcW w:w="5962" w:type="dxa"/>
            <w:tcBorders>
              <w:top w:val="nil"/>
              <w:left w:val="nil"/>
              <w:bottom w:val="nil"/>
              <w:right w:val="nil"/>
            </w:tcBorders>
            <w:noWrap/>
          </w:tcPr>
          <w:p w14:paraId="218C9456" w14:textId="37EA8DE4" w:rsidR="003F2E96" w:rsidRPr="003F2E96" w:rsidRDefault="003F2E96" w:rsidP="003F2E96">
            <w:pPr>
              <w:spacing w:line="276" w:lineRule="auto"/>
              <w:rPr>
                <w:rFonts w:ascii="Times New Roman" w:eastAsia="Calibri" w:hAnsi="Times New Roman" w:cs="Times New Roman"/>
                <w:bCs/>
              </w:rPr>
            </w:pPr>
            <w:r w:rsidRPr="003F2E96">
              <w:rPr>
                <w:rFonts w:ascii="Times New Roman" w:hAnsi="Times New Roman" w:cs="Times New Roman"/>
              </w:rPr>
              <w:t>Yaphank Energy Storage, LLC /Yaphank Energy Storage</w:t>
            </w:r>
          </w:p>
        </w:tc>
        <w:tc>
          <w:tcPr>
            <w:tcW w:w="1617" w:type="dxa"/>
            <w:tcBorders>
              <w:top w:val="nil"/>
              <w:left w:val="nil"/>
              <w:bottom w:val="nil"/>
              <w:right w:val="nil"/>
            </w:tcBorders>
            <w:noWrap/>
          </w:tcPr>
          <w:p w14:paraId="29236835" w14:textId="3C5244B6" w:rsidR="003F2E96" w:rsidRPr="003F2E96" w:rsidRDefault="003F2E96" w:rsidP="003F2E96">
            <w:pPr>
              <w:spacing w:line="276" w:lineRule="auto"/>
              <w:jc w:val="center"/>
              <w:rPr>
                <w:rFonts w:ascii="Times New Roman" w:eastAsia="Calibri" w:hAnsi="Times New Roman" w:cs="Times New Roman"/>
                <w:bCs/>
              </w:rPr>
            </w:pPr>
            <w:r w:rsidRPr="003F2E96">
              <w:rPr>
                <w:rFonts w:ascii="Times New Roman" w:hAnsi="Times New Roman" w:cs="Times New Roman"/>
              </w:rPr>
              <w:t>76.8|77.6</w:t>
            </w:r>
          </w:p>
        </w:tc>
      </w:tr>
      <w:tr w:rsidR="004627C7" w:rsidRPr="004627C7" w14:paraId="00E302A4" w14:textId="77777777" w:rsidTr="005700C9">
        <w:trPr>
          <w:trHeight w:val="229"/>
          <w:jc w:val="center"/>
        </w:trPr>
        <w:tc>
          <w:tcPr>
            <w:tcW w:w="1347" w:type="dxa"/>
            <w:tcBorders>
              <w:top w:val="nil"/>
              <w:left w:val="nil"/>
              <w:bottom w:val="nil"/>
              <w:right w:val="nil"/>
            </w:tcBorders>
            <w:noWrap/>
            <w:hideMark/>
          </w:tcPr>
          <w:p w14:paraId="0D278B43" w14:textId="77777777" w:rsidR="00322F44" w:rsidRPr="004627C7" w:rsidRDefault="00322F44" w:rsidP="005700C9">
            <w:pPr>
              <w:spacing w:line="276" w:lineRule="auto"/>
              <w:jc w:val="center"/>
              <w:rPr>
                <w:rFonts w:ascii="Times New Roman" w:eastAsia="Calibri" w:hAnsi="Times New Roman" w:cs="Times New Roman"/>
                <w:b/>
              </w:rPr>
            </w:pPr>
            <w:r w:rsidRPr="004627C7">
              <w:rPr>
                <w:rFonts w:ascii="Times New Roman" w:eastAsia="Calibri" w:hAnsi="Times New Roman" w:cs="Times New Roman"/>
                <w:b/>
              </w:rPr>
              <w:t>987</w:t>
            </w:r>
          </w:p>
        </w:tc>
        <w:tc>
          <w:tcPr>
            <w:tcW w:w="5962" w:type="dxa"/>
            <w:tcBorders>
              <w:top w:val="nil"/>
              <w:left w:val="nil"/>
              <w:bottom w:val="nil"/>
              <w:right w:val="nil"/>
            </w:tcBorders>
            <w:noWrap/>
            <w:hideMark/>
          </w:tcPr>
          <w:p w14:paraId="41164F8C" w14:textId="77777777" w:rsidR="00322F44" w:rsidRPr="004627C7" w:rsidRDefault="00322F44" w:rsidP="005700C9">
            <w:pPr>
              <w:spacing w:line="276" w:lineRule="auto"/>
              <w:rPr>
                <w:rFonts w:ascii="Times New Roman" w:eastAsia="Calibri" w:hAnsi="Times New Roman" w:cs="Times New Roman"/>
                <w:bCs/>
              </w:rPr>
            </w:pPr>
            <w:r w:rsidRPr="004627C7">
              <w:rPr>
                <w:rFonts w:ascii="Times New Roman" w:eastAsia="Calibri" w:hAnsi="Times New Roman" w:cs="Times New Roman"/>
                <w:bCs/>
              </w:rPr>
              <w:t>Sunrise Wind LLC / Sunrise Wind 2</w:t>
            </w:r>
          </w:p>
        </w:tc>
        <w:tc>
          <w:tcPr>
            <w:tcW w:w="1617" w:type="dxa"/>
            <w:tcBorders>
              <w:top w:val="nil"/>
              <w:left w:val="nil"/>
              <w:bottom w:val="nil"/>
              <w:right w:val="nil"/>
            </w:tcBorders>
            <w:noWrap/>
            <w:hideMark/>
          </w:tcPr>
          <w:p w14:paraId="0FF68F45" w14:textId="77777777" w:rsidR="00322F44" w:rsidRPr="004627C7" w:rsidRDefault="00322F44" w:rsidP="005700C9">
            <w:pPr>
              <w:spacing w:line="276" w:lineRule="auto"/>
              <w:jc w:val="center"/>
              <w:rPr>
                <w:rFonts w:ascii="Times New Roman" w:eastAsia="Calibri" w:hAnsi="Times New Roman" w:cs="Times New Roman"/>
                <w:bCs/>
              </w:rPr>
            </w:pPr>
            <w:r w:rsidRPr="004627C7">
              <w:rPr>
                <w:rFonts w:ascii="Times New Roman" w:eastAsia="Calibri" w:hAnsi="Times New Roman" w:cs="Times New Roman"/>
                <w:bCs/>
              </w:rPr>
              <w:t>44|44</w:t>
            </w:r>
          </w:p>
        </w:tc>
      </w:tr>
    </w:tbl>
    <w:p w14:paraId="758AA94C" w14:textId="77777777" w:rsidR="00EF45D8" w:rsidRPr="004627C7" w:rsidRDefault="00EF45D8" w:rsidP="000503FB">
      <w:pPr>
        <w:jc w:val="center"/>
        <w:rPr>
          <w:rFonts w:ascii="Times New Roman" w:hAnsi="Times New Roman" w:cs="Times New Roman"/>
          <w:b/>
          <w:bCs/>
          <w:sz w:val="24"/>
        </w:rPr>
      </w:pPr>
    </w:p>
    <w:sectPr w:rsidR="00EF45D8" w:rsidRPr="004627C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C34EA" w14:textId="77777777" w:rsidR="00EF45D8" w:rsidRDefault="00EF45D8" w:rsidP="00EF45D8">
      <w:pPr>
        <w:spacing w:after="0" w:line="240" w:lineRule="auto"/>
      </w:pPr>
      <w:r>
        <w:separator/>
      </w:r>
    </w:p>
  </w:endnote>
  <w:endnote w:type="continuationSeparator" w:id="0">
    <w:p w14:paraId="2831E14E" w14:textId="77777777" w:rsidR="00EF45D8" w:rsidRDefault="00EF45D8" w:rsidP="00EF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C22D" w14:textId="618EF610" w:rsidR="00EF45D8" w:rsidRPr="004627C7" w:rsidRDefault="00EF45D8">
    <w:pPr>
      <w:pStyle w:val="Footer"/>
      <w:rPr>
        <w:rFonts w:ascii="Times New Roman" w:hAnsi="Times New Roman" w:cs="Times New Roman"/>
        <w:i/>
        <w:sz w:val="24"/>
      </w:rPr>
    </w:pPr>
    <w:r w:rsidRPr="00EF45D8">
      <w:rPr>
        <w:rFonts w:ascii="Times New Roman" w:hAnsi="Times New Roman" w:cs="Times New Roman"/>
        <w:i/>
        <w:color w:val="FA8359"/>
        <w:sz w:val="24"/>
      </w:rPr>
      <w:tab/>
    </w:r>
    <w:r w:rsidRPr="008B1462">
      <w:rPr>
        <w:rFonts w:ascii="Times New Roman" w:hAnsi="Times New Roman" w:cs="Times New Roman"/>
        <w:i/>
        <w:sz w:val="24"/>
      </w:rPr>
      <w:fldChar w:fldCharType="begin"/>
    </w:r>
    <w:r w:rsidRPr="00434AF2">
      <w:rPr>
        <w:rFonts w:ascii="Times New Roman" w:hAnsi="Times New Roman" w:cs="Times New Roman"/>
        <w:i/>
        <w:sz w:val="24"/>
      </w:rPr>
      <w:instrText xml:space="preserve"> PAGE </w:instrText>
    </w:r>
    <w:r w:rsidRPr="008B1462">
      <w:rPr>
        <w:rFonts w:ascii="Times New Roman" w:hAnsi="Times New Roman" w:cs="Times New Roman"/>
        <w:i/>
        <w:sz w:val="24"/>
      </w:rPr>
      <w:fldChar w:fldCharType="separate"/>
    </w:r>
    <w:r w:rsidRPr="00434AF2">
      <w:rPr>
        <w:rFonts w:ascii="Times New Roman" w:hAnsi="Times New Roman" w:cs="Times New Roman"/>
        <w:i/>
        <w:noProof/>
        <w:sz w:val="24"/>
      </w:rPr>
      <w:t>1</w:t>
    </w:r>
    <w:r w:rsidRPr="008B1462">
      <w:rPr>
        <w:rFonts w:ascii="Times New Roman" w:hAnsi="Times New Roman" w:cs="Times New Roman"/>
        <w:i/>
        <w:sz w:val="24"/>
      </w:rPr>
      <w:fldChar w:fldCharType="end"/>
    </w:r>
    <w:r w:rsidRPr="00EF45D8">
      <w:rPr>
        <w:rFonts w:ascii="Times New Roman" w:hAnsi="Times New Roman" w:cs="Times New Roman"/>
        <w:i/>
        <w:color w:val="FA8359"/>
        <w:sz w:val="24"/>
      </w:rPr>
      <w:tab/>
    </w:r>
    <w:r w:rsidRPr="004627C7">
      <w:rPr>
        <w:rFonts w:ascii="Times New Roman" w:hAnsi="Times New Roman" w:cs="Times New Roman"/>
        <w:i/>
        <w:sz w:val="24"/>
      </w:rPr>
      <w:t xml:space="preserve">Q1341 SRIS Scope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276EA" w14:textId="77777777" w:rsidR="00EF45D8" w:rsidRDefault="00EF45D8" w:rsidP="00EF45D8">
      <w:pPr>
        <w:spacing w:after="0" w:line="240" w:lineRule="auto"/>
      </w:pPr>
      <w:r>
        <w:separator/>
      </w:r>
    </w:p>
  </w:footnote>
  <w:footnote w:type="continuationSeparator" w:id="0">
    <w:p w14:paraId="208F270C" w14:textId="77777777" w:rsidR="00EF45D8" w:rsidRDefault="00EF45D8" w:rsidP="00EF45D8">
      <w:pPr>
        <w:spacing w:after="0" w:line="240" w:lineRule="auto"/>
      </w:pPr>
      <w:r>
        <w:continuationSeparator/>
      </w:r>
    </w:p>
  </w:footnote>
  <w:footnote w:id="1">
    <w:p w14:paraId="6B41B99B" w14:textId="4C70B797" w:rsidR="00EF45D8" w:rsidRDefault="00EF45D8">
      <w:pPr>
        <w:pStyle w:val="FootnoteText"/>
      </w:pPr>
      <w:r>
        <w:rPr>
          <w:rStyle w:val="FootnoteReference"/>
        </w:rPr>
        <w:footnoteRef/>
      </w:r>
      <w:r>
        <w:t xml:space="preserve"> </w:t>
      </w:r>
      <w:r w:rsidRPr="00EF45D8">
        <w:rPr>
          <w:rFonts w:ascii="Times New Roman" w:hAnsi="Times New Roman" w:cs="Times New Roman"/>
        </w:rPr>
        <w:t>For temperature sensitive output projects, the MW values represent the Maximum Summer Peak Net Output that can be achieved between 85 and 95</w:t>
      </w:r>
      <w:r w:rsidR="007E05E8" w:rsidRPr="007E05E8">
        <w:rPr>
          <w:rFonts w:ascii="Times New Roman" w:hAnsi="Times New Roman" w:cs="Times New Roman"/>
          <w:vertAlign w:val="superscript"/>
        </w:rPr>
        <w:t>o</w:t>
      </w:r>
      <w:r w:rsidRPr="00EF45D8">
        <w:rPr>
          <w:rFonts w:ascii="Times New Roman" w:hAnsi="Times New Roman" w:cs="Times New Roman"/>
        </w:rPr>
        <w:t>F, and the Maximum Winter Peak Net Output that can be achieved between 10 and 35</w:t>
      </w:r>
      <w:r w:rsidR="00CB1634" w:rsidRPr="00CB1634">
        <w:rPr>
          <w:rFonts w:ascii="Times New Roman" w:hAnsi="Times New Roman" w:cs="Times New Roman"/>
          <w:vertAlign w:val="superscript"/>
        </w:rPr>
        <w:t>o</w:t>
      </w:r>
      <w:r w:rsidRPr="00EF45D8">
        <w:rPr>
          <w:rFonts w:ascii="Times New Roman" w:hAnsi="Times New Roman" w:cs="Times New Roman"/>
        </w:rPr>
        <w:t xml:space="preserve">F. </w:t>
      </w:r>
    </w:p>
  </w:footnote>
  <w:footnote w:id="2">
    <w:p w14:paraId="1C645125" w14:textId="7EE45674" w:rsidR="00EF45D8" w:rsidRDefault="00EF45D8">
      <w:pPr>
        <w:pStyle w:val="FootnoteText"/>
      </w:pPr>
      <w:r>
        <w:rPr>
          <w:rStyle w:val="FootnoteReference"/>
        </w:rPr>
        <w:footnoteRef/>
      </w:r>
      <w:r>
        <w:t xml:space="preserve"> </w:t>
      </w:r>
      <w:r w:rsidRPr="00EF45D8">
        <w:rPr>
          <w:rFonts w:ascii="Times New Roman" w:hAnsi="Times New Roman" w:cs="Times New Roman"/>
        </w:rPr>
        <w:t>As defined in the NYISO Transmission Expansion and Interconnection Manual (NYISO TEI Manual).</w:t>
      </w:r>
    </w:p>
  </w:footnote>
  <w:footnote w:id="3">
    <w:p w14:paraId="3AEEF3DE" w14:textId="77777777" w:rsidR="00FD0977" w:rsidRDefault="00FD0977" w:rsidP="00FD0977">
      <w:pPr>
        <w:pStyle w:val="FootnoteText"/>
      </w:pPr>
      <w:r>
        <w:rPr>
          <w:rStyle w:val="FootnoteReference"/>
        </w:rPr>
        <w:footnoteRef/>
      </w:r>
      <w:r>
        <w:t xml:space="preserve"> Thermal transfer limits only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36A16"/>
    <w:multiLevelType w:val="singleLevel"/>
    <w:tmpl w:val="0409000F"/>
    <w:lvl w:ilvl="0">
      <w:start w:val="1"/>
      <w:numFmt w:val="decimal"/>
      <w:lvlText w:val="%1."/>
      <w:lvlJc w:val="left"/>
      <w:pPr>
        <w:ind w:left="720" w:hanging="360"/>
      </w:pPr>
    </w:lvl>
  </w:abstractNum>
  <w:abstractNum w:abstractNumId="1" w15:restartNumberingAfterBreak="0">
    <w:nsid w:val="32226C87"/>
    <w:multiLevelType w:val="hybridMultilevel"/>
    <w:tmpl w:val="DC80B9F2"/>
    <w:lvl w:ilvl="0" w:tplc="2FA09836">
      <w:start w:val="1"/>
      <w:numFmt w:val="decimal"/>
      <w:lvlRestart w:val="0"/>
      <w:lvlText w:val="7.%1"/>
      <w:lvlJc w:val="left"/>
      <w:pPr>
        <w:ind w:left="0" w:firstLine="576"/>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8F3EA7"/>
    <w:multiLevelType w:val="hybridMultilevel"/>
    <w:tmpl w:val="3A54158C"/>
    <w:lvl w:ilvl="0" w:tplc="9A3ED260">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54867"/>
    <w:multiLevelType w:val="hybridMultilevel"/>
    <w:tmpl w:val="B036B02E"/>
    <w:lvl w:ilvl="0" w:tplc="74EE7062">
      <w:start w:val="1"/>
      <w:numFmt w:val="decimal"/>
      <w:lvlText w:val="7.%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3965FE"/>
    <w:multiLevelType w:val="hybridMultilevel"/>
    <w:tmpl w:val="AF6426BE"/>
    <w:lvl w:ilvl="0" w:tplc="7D1E86D0">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7014198">
    <w:abstractNumId w:val="0"/>
  </w:num>
  <w:num w:numId="2" w16cid:durableId="171147255">
    <w:abstractNumId w:val="4"/>
  </w:num>
  <w:num w:numId="3" w16cid:durableId="817305211">
    <w:abstractNumId w:val="1"/>
  </w:num>
  <w:num w:numId="4" w16cid:durableId="782647535">
    <w:abstractNumId w:val="3"/>
  </w:num>
  <w:num w:numId="5" w16cid:durableId="1771512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5D8"/>
    <w:rsid w:val="000503FB"/>
    <w:rsid w:val="001C4E5C"/>
    <w:rsid w:val="001C611B"/>
    <w:rsid w:val="002E56A5"/>
    <w:rsid w:val="002E7286"/>
    <w:rsid w:val="00322F44"/>
    <w:rsid w:val="00383FBF"/>
    <w:rsid w:val="003F2E96"/>
    <w:rsid w:val="004215F7"/>
    <w:rsid w:val="00434AF2"/>
    <w:rsid w:val="004627C7"/>
    <w:rsid w:val="0049257B"/>
    <w:rsid w:val="005362EE"/>
    <w:rsid w:val="00554B4C"/>
    <w:rsid w:val="006961D4"/>
    <w:rsid w:val="0077774A"/>
    <w:rsid w:val="007E05E8"/>
    <w:rsid w:val="00825B87"/>
    <w:rsid w:val="008817A1"/>
    <w:rsid w:val="008B1462"/>
    <w:rsid w:val="008D4053"/>
    <w:rsid w:val="009E331A"/>
    <w:rsid w:val="00A028A1"/>
    <w:rsid w:val="00A67C30"/>
    <w:rsid w:val="00B76C9C"/>
    <w:rsid w:val="00B85592"/>
    <w:rsid w:val="00B90045"/>
    <w:rsid w:val="00BC5E62"/>
    <w:rsid w:val="00BD6D02"/>
    <w:rsid w:val="00BF10C2"/>
    <w:rsid w:val="00CB1634"/>
    <w:rsid w:val="00DE2C1A"/>
    <w:rsid w:val="00E414E1"/>
    <w:rsid w:val="00E7446F"/>
    <w:rsid w:val="00E809FA"/>
    <w:rsid w:val="00EB5437"/>
    <w:rsid w:val="00EE3180"/>
    <w:rsid w:val="00EF45D8"/>
    <w:rsid w:val="00F260BD"/>
    <w:rsid w:val="00F80640"/>
    <w:rsid w:val="00FD0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62A6"/>
  <w15:chartTrackingRefBased/>
  <w15:docId w15:val="{F123AED4-9DFE-4296-A28A-996064D78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5D8"/>
    <w:pPr>
      <w:spacing w:after="0" w:line="240" w:lineRule="auto"/>
    </w:pPr>
  </w:style>
  <w:style w:type="paragraph" w:styleId="ListParagraph">
    <w:name w:val="List Paragraph"/>
    <w:basedOn w:val="Normal"/>
    <w:uiPriority w:val="34"/>
    <w:qFormat/>
    <w:rsid w:val="00EF45D8"/>
    <w:pPr>
      <w:ind w:left="720"/>
      <w:contextualSpacing/>
    </w:pPr>
  </w:style>
  <w:style w:type="paragraph" w:styleId="Header">
    <w:name w:val="header"/>
    <w:basedOn w:val="Normal"/>
    <w:link w:val="HeaderChar"/>
    <w:uiPriority w:val="99"/>
    <w:unhideWhenUsed/>
    <w:rsid w:val="00EF4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5D8"/>
  </w:style>
  <w:style w:type="paragraph" w:styleId="Footer">
    <w:name w:val="footer"/>
    <w:basedOn w:val="Normal"/>
    <w:link w:val="FooterChar"/>
    <w:uiPriority w:val="99"/>
    <w:unhideWhenUsed/>
    <w:rsid w:val="00EF4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5D8"/>
  </w:style>
  <w:style w:type="paragraph" w:styleId="FootnoteText">
    <w:name w:val="footnote text"/>
    <w:basedOn w:val="Normal"/>
    <w:link w:val="FootnoteTextChar"/>
    <w:uiPriority w:val="99"/>
    <w:semiHidden/>
    <w:unhideWhenUsed/>
    <w:rsid w:val="00EF45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45D8"/>
    <w:rPr>
      <w:sz w:val="20"/>
      <w:szCs w:val="20"/>
    </w:rPr>
  </w:style>
  <w:style w:type="character" w:styleId="FootnoteReference">
    <w:name w:val="footnote reference"/>
    <w:basedOn w:val="DefaultParagraphFont"/>
    <w:uiPriority w:val="99"/>
    <w:semiHidden/>
    <w:unhideWhenUsed/>
    <w:rsid w:val="00EF45D8"/>
    <w:rPr>
      <w:vertAlign w:val="superscript"/>
    </w:rPr>
  </w:style>
  <w:style w:type="character" w:styleId="CommentReference">
    <w:name w:val="annotation reference"/>
    <w:basedOn w:val="DefaultParagraphFont"/>
    <w:uiPriority w:val="99"/>
    <w:semiHidden/>
    <w:unhideWhenUsed/>
    <w:rsid w:val="00EE3180"/>
    <w:rPr>
      <w:sz w:val="16"/>
      <w:szCs w:val="16"/>
    </w:rPr>
  </w:style>
  <w:style w:type="paragraph" w:styleId="CommentText">
    <w:name w:val="annotation text"/>
    <w:basedOn w:val="Normal"/>
    <w:link w:val="CommentTextChar"/>
    <w:uiPriority w:val="99"/>
    <w:unhideWhenUsed/>
    <w:rsid w:val="00EE3180"/>
    <w:pPr>
      <w:spacing w:line="240" w:lineRule="auto"/>
    </w:pPr>
    <w:rPr>
      <w:sz w:val="20"/>
      <w:szCs w:val="20"/>
    </w:rPr>
  </w:style>
  <w:style w:type="character" w:customStyle="1" w:styleId="CommentTextChar">
    <w:name w:val="Comment Text Char"/>
    <w:basedOn w:val="DefaultParagraphFont"/>
    <w:link w:val="CommentText"/>
    <w:uiPriority w:val="99"/>
    <w:rsid w:val="00EE3180"/>
    <w:rPr>
      <w:sz w:val="20"/>
      <w:szCs w:val="20"/>
    </w:rPr>
  </w:style>
  <w:style w:type="paragraph" w:styleId="Revision">
    <w:name w:val="Revision"/>
    <w:hidden/>
    <w:uiPriority w:val="99"/>
    <w:semiHidden/>
    <w:rsid w:val="00E7446F"/>
    <w:pPr>
      <w:spacing w:after="0" w:line="240" w:lineRule="auto"/>
    </w:pPr>
  </w:style>
  <w:style w:type="table" w:customStyle="1" w:styleId="TableGrid1">
    <w:name w:val="Table Grid1"/>
    <w:basedOn w:val="TableNormal"/>
    <w:next w:val="TableGrid"/>
    <w:uiPriority w:val="39"/>
    <w:rsid w:val="00322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22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414E1"/>
    <w:rPr>
      <w:b/>
      <w:bCs/>
    </w:rPr>
  </w:style>
  <w:style w:type="character" w:customStyle="1" w:styleId="CommentSubjectChar">
    <w:name w:val="Comment Subject Char"/>
    <w:basedOn w:val="CommentTextChar"/>
    <w:link w:val="CommentSubject"/>
    <w:uiPriority w:val="99"/>
    <w:semiHidden/>
    <w:rsid w:val="00E414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8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1870</Words>
  <Characters>10663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New York ISO</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Odetayo, Babatunde O</dc:creator>
  <cp:keywords/>
  <dc:description/>
  <cp:lastModifiedBy>Diana Hernandez</cp:lastModifiedBy>
  <cp:revision>5</cp:revision>
  <dcterms:created xsi:type="dcterms:W3CDTF">2023-05-24T20:28:00Z</dcterms:created>
  <dcterms:modified xsi:type="dcterms:W3CDTF">2023-05-26T13:19:00Z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8ddb08e0d8a28cfb894234aca655a1163f4a61dfdf71ca2358f6839c745c7300</vt:lpwstr>
  </property>
  <property fmtid="{D5CDD505-2E9C-101B-9397-08002B2CF9AE}" pid="3" name="MSIP_Label_a5049dce-8671-4c79-90d7-f6ec79470f4e_Enabled">
    <vt:lpwstr>true</vt:lpwstr>
  </property>
  <property fmtid="{D5CDD505-2E9C-101B-9397-08002B2CF9AE}" pid="4" name="MSIP_Label_a5049dce-8671-4c79-90d7-f6ec79470f4e_SetDate">
    <vt:lpwstr>2023-05-10T13:20:14Z</vt:lpwstr>
  </property>
  <property fmtid="{D5CDD505-2E9C-101B-9397-08002B2CF9AE}" pid="5" name="MSIP_Label_a5049dce-8671-4c79-90d7-f6ec79470f4e_Method">
    <vt:lpwstr>Privileged</vt:lpwstr>
  </property>
  <property fmtid="{D5CDD505-2E9C-101B-9397-08002B2CF9AE}" pid="6" name="MSIP_Label_a5049dce-8671-4c79-90d7-f6ec79470f4e_Name">
    <vt:lpwstr>Public</vt:lpwstr>
  </property>
  <property fmtid="{D5CDD505-2E9C-101B-9397-08002B2CF9AE}" pid="7" name="MSIP_Label_a5049dce-8671-4c79-90d7-f6ec79470f4e_SiteId">
    <vt:lpwstr>7658602a-f7b9-4209-bc62-d2bfc30dea0d</vt:lpwstr>
  </property>
  <property fmtid="{D5CDD505-2E9C-101B-9397-08002B2CF9AE}" pid="8" name="MSIP_Label_a5049dce-8671-4c79-90d7-f6ec79470f4e_ActionId">
    <vt:lpwstr>a9485be1-1352-49e1-9ac2-5acd262ea3ea</vt:lpwstr>
  </property>
  <property fmtid="{D5CDD505-2E9C-101B-9397-08002B2CF9AE}" pid="9" name="MSIP_Label_a5049dce-8671-4c79-90d7-f6ec79470f4e_ContentBits">
    <vt:lpwstr>0</vt:lpwstr>
  </property>
</Properties>
</file>